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694B" w:rsidRPr="00DD535F" w:rsidRDefault="002E1E28" w:rsidP="00813CE1">
      <w:pPr>
        <w:rPr>
          <w:lang w:eastAsia="en-GB"/>
        </w:rPr>
      </w:pPr>
      <w:r>
        <w:rPr>
          <w:noProof/>
          <w:lang w:eastAsia="en-GB"/>
        </w:rPr>
        <w:drawing>
          <wp:anchor distT="0" distB="0" distL="114300" distR="114300" simplePos="0" relativeHeight="251657216" behindDoc="0" locked="0" layoutInCell="1" allowOverlap="1" wp14:editId="0EC3FC64">
            <wp:simplePos x="0" y="0"/>
            <wp:positionH relativeFrom="column">
              <wp:posOffset>-410210</wp:posOffset>
            </wp:positionH>
            <wp:positionV relativeFrom="paragraph">
              <wp:posOffset>93345</wp:posOffset>
            </wp:positionV>
            <wp:extent cx="6543675" cy="129794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2325" t="13295" r="28043" b="62183"/>
                    <a:stretch>
                      <a:fillRect/>
                    </a:stretch>
                  </pic:blipFill>
                  <pic:spPr bwMode="auto">
                    <a:xfrm>
                      <a:off x="0" y="0"/>
                      <a:ext cx="6543675" cy="1297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694B" w:rsidRPr="00DD535F" w:rsidRDefault="0067694B" w:rsidP="00E33FD8">
      <w:pPr>
        <w:autoSpaceDE w:val="0"/>
        <w:autoSpaceDN w:val="0"/>
        <w:adjustRightInd w:val="0"/>
        <w:spacing w:before="100" w:beforeAutospacing="1" w:after="100" w:afterAutospacing="1"/>
        <w:rPr>
          <w:rFonts w:asciiTheme="minorHAnsi" w:hAnsiTheme="minorHAnsi" w:cstheme="minorHAnsi"/>
          <w:lang w:eastAsia="en-GB"/>
        </w:rPr>
      </w:pPr>
    </w:p>
    <w:p w:rsidR="0067694B" w:rsidRPr="00DD535F" w:rsidRDefault="0067694B" w:rsidP="00E33FD8">
      <w:pPr>
        <w:autoSpaceDE w:val="0"/>
        <w:autoSpaceDN w:val="0"/>
        <w:adjustRightInd w:val="0"/>
        <w:spacing w:before="100" w:beforeAutospacing="1" w:after="100" w:afterAutospacing="1"/>
        <w:rPr>
          <w:rFonts w:asciiTheme="minorHAnsi" w:hAnsiTheme="minorHAnsi" w:cstheme="minorHAnsi"/>
          <w:sz w:val="36"/>
          <w:szCs w:val="36"/>
          <w:lang w:eastAsia="en-GB"/>
        </w:rPr>
      </w:pPr>
    </w:p>
    <w:p w:rsidR="0067694B" w:rsidRDefault="0067694B" w:rsidP="0067694B">
      <w:pPr>
        <w:autoSpaceDE w:val="0"/>
        <w:autoSpaceDN w:val="0"/>
        <w:adjustRightInd w:val="0"/>
        <w:spacing w:before="100" w:beforeAutospacing="1" w:after="100" w:afterAutospacing="1"/>
        <w:jc w:val="center"/>
        <w:rPr>
          <w:rFonts w:ascii="Trebuchet MS" w:hAnsi="Trebuchet MS" w:cs="Verdana"/>
          <w:sz w:val="36"/>
          <w:szCs w:val="36"/>
          <w:lang w:eastAsia="en-GB"/>
        </w:rPr>
      </w:pPr>
    </w:p>
    <w:p w:rsidR="00EC5BD0" w:rsidRPr="00EC5BD0" w:rsidRDefault="00EC5BD0" w:rsidP="00EC5BD0">
      <w:pPr>
        <w:autoSpaceDE w:val="0"/>
        <w:autoSpaceDN w:val="0"/>
        <w:adjustRightInd w:val="0"/>
        <w:rPr>
          <w:rFonts w:ascii="Arial" w:eastAsiaTheme="minorHAnsi" w:hAnsi="Arial" w:cs="Arial"/>
          <w:color w:val="000000"/>
        </w:rPr>
      </w:pPr>
    </w:p>
    <w:p w:rsidR="00866F65" w:rsidRPr="00EC5BD0" w:rsidRDefault="00EC5BD0" w:rsidP="00EC5BD0">
      <w:pPr>
        <w:autoSpaceDE w:val="0"/>
        <w:autoSpaceDN w:val="0"/>
        <w:adjustRightInd w:val="0"/>
        <w:spacing w:before="100" w:beforeAutospacing="1" w:after="240"/>
        <w:jc w:val="center"/>
        <w:rPr>
          <w:rFonts w:asciiTheme="minorHAnsi" w:hAnsiTheme="minorHAnsi" w:cstheme="minorHAnsi"/>
          <w:b/>
          <w:sz w:val="40"/>
          <w:szCs w:val="40"/>
          <w:lang w:eastAsia="en-GB"/>
        </w:rPr>
      </w:pPr>
      <w:r w:rsidRPr="00EC5BD0">
        <w:rPr>
          <w:rFonts w:ascii="Arial" w:eastAsiaTheme="minorHAnsi" w:hAnsi="Arial" w:cs="Arial"/>
          <w:color w:val="000000"/>
        </w:rPr>
        <w:t xml:space="preserve"> </w:t>
      </w:r>
      <w:r w:rsidRPr="00EC5BD0">
        <w:rPr>
          <w:rFonts w:asciiTheme="minorHAnsi" w:hAnsiTheme="minorHAnsi" w:cstheme="minorHAnsi"/>
          <w:b/>
          <w:sz w:val="40"/>
          <w:szCs w:val="40"/>
          <w:lang w:eastAsia="en-GB"/>
        </w:rPr>
        <w:t>Consultation on</w:t>
      </w:r>
      <w:r>
        <w:rPr>
          <w:rFonts w:ascii="Arial" w:eastAsiaTheme="minorHAnsi" w:hAnsi="Arial" w:cs="Arial"/>
          <w:color w:val="000000"/>
        </w:rPr>
        <w:t xml:space="preserve"> </w:t>
      </w:r>
      <w:r w:rsidRPr="00EC5BD0">
        <w:rPr>
          <w:rFonts w:asciiTheme="minorHAnsi" w:hAnsiTheme="minorHAnsi" w:cstheme="minorHAnsi"/>
          <w:b/>
          <w:sz w:val="40"/>
          <w:szCs w:val="40"/>
          <w:lang w:eastAsia="en-GB"/>
        </w:rPr>
        <w:t>Regulation 19: Pre-Submission Draft of the Shropshire Local Plan 2016 to 2038</w:t>
      </w:r>
    </w:p>
    <w:p w:rsidR="00862910" w:rsidRDefault="00862910" w:rsidP="00C66158">
      <w:pPr>
        <w:autoSpaceDE w:val="0"/>
        <w:autoSpaceDN w:val="0"/>
        <w:adjustRightInd w:val="0"/>
        <w:spacing w:before="100" w:beforeAutospacing="1" w:after="240"/>
        <w:jc w:val="center"/>
        <w:rPr>
          <w:rFonts w:asciiTheme="minorHAnsi" w:hAnsiTheme="minorHAnsi" w:cstheme="minorHAnsi"/>
          <w:b/>
          <w:sz w:val="40"/>
          <w:szCs w:val="40"/>
          <w:lang w:eastAsia="en-GB"/>
        </w:rPr>
      </w:pPr>
    </w:p>
    <w:p w:rsidR="00EC5BD0" w:rsidRDefault="00EC5BD0" w:rsidP="00EC5BD0">
      <w:pPr>
        <w:autoSpaceDE w:val="0"/>
        <w:autoSpaceDN w:val="0"/>
        <w:adjustRightInd w:val="0"/>
        <w:spacing w:before="100" w:beforeAutospacing="1" w:after="100" w:afterAutospacing="1"/>
        <w:jc w:val="center"/>
        <w:rPr>
          <w:rFonts w:asciiTheme="minorHAnsi" w:hAnsiTheme="minorHAnsi" w:cstheme="minorHAnsi"/>
          <w:b/>
          <w:sz w:val="40"/>
          <w:szCs w:val="40"/>
          <w:lang w:eastAsia="en-GB"/>
        </w:rPr>
      </w:pPr>
      <w:r w:rsidRPr="0048269B">
        <w:rPr>
          <w:rFonts w:asciiTheme="minorHAnsi" w:hAnsiTheme="minorHAnsi" w:cstheme="minorHAnsi"/>
          <w:b/>
          <w:sz w:val="40"/>
          <w:szCs w:val="40"/>
          <w:lang w:eastAsia="en-GB"/>
        </w:rPr>
        <w:t xml:space="preserve">Response from </w:t>
      </w:r>
      <w:r w:rsidR="00853C15">
        <w:rPr>
          <w:rFonts w:asciiTheme="minorHAnsi" w:hAnsiTheme="minorHAnsi" w:cstheme="minorHAnsi"/>
          <w:b/>
          <w:sz w:val="40"/>
          <w:szCs w:val="40"/>
          <w:lang w:eastAsia="en-GB"/>
        </w:rPr>
        <w:t>CPRE Shropshire</w:t>
      </w:r>
    </w:p>
    <w:p w:rsidR="00862910" w:rsidRDefault="00862910" w:rsidP="00C66158">
      <w:pPr>
        <w:autoSpaceDE w:val="0"/>
        <w:autoSpaceDN w:val="0"/>
        <w:adjustRightInd w:val="0"/>
        <w:spacing w:before="100" w:beforeAutospacing="1" w:after="240"/>
        <w:jc w:val="center"/>
        <w:rPr>
          <w:rFonts w:asciiTheme="minorHAnsi" w:hAnsiTheme="minorHAnsi" w:cstheme="minorHAnsi"/>
          <w:b/>
          <w:sz w:val="40"/>
          <w:szCs w:val="40"/>
          <w:lang w:eastAsia="en-GB"/>
        </w:rPr>
      </w:pPr>
    </w:p>
    <w:p w:rsidR="00862910" w:rsidRDefault="00862910" w:rsidP="00C66158">
      <w:pPr>
        <w:autoSpaceDE w:val="0"/>
        <w:autoSpaceDN w:val="0"/>
        <w:adjustRightInd w:val="0"/>
        <w:spacing w:before="100" w:beforeAutospacing="1" w:after="240"/>
        <w:jc w:val="center"/>
        <w:rPr>
          <w:rFonts w:asciiTheme="minorHAnsi" w:hAnsiTheme="minorHAnsi" w:cstheme="minorHAnsi"/>
          <w:b/>
          <w:sz w:val="40"/>
          <w:szCs w:val="40"/>
          <w:lang w:eastAsia="en-GB"/>
        </w:rPr>
      </w:pPr>
    </w:p>
    <w:p w:rsidR="00454DC4" w:rsidRPr="0048269B" w:rsidRDefault="00853C15" w:rsidP="00454DC4">
      <w:pPr>
        <w:autoSpaceDE w:val="0"/>
        <w:autoSpaceDN w:val="0"/>
        <w:adjustRightInd w:val="0"/>
        <w:spacing w:before="100" w:beforeAutospacing="1" w:after="100" w:afterAutospacing="1"/>
        <w:jc w:val="center"/>
        <w:rPr>
          <w:rFonts w:asciiTheme="minorHAnsi" w:hAnsiTheme="minorHAnsi" w:cstheme="minorHAnsi"/>
          <w:b/>
          <w:sz w:val="40"/>
          <w:szCs w:val="40"/>
          <w:lang w:eastAsia="en-GB"/>
        </w:rPr>
      </w:pPr>
      <w:r>
        <w:rPr>
          <w:rFonts w:asciiTheme="minorHAnsi" w:hAnsiTheme="minorHAnsi" w:cstheme="minorHAnsi"/>
          <w:b/>
          <w:sz w:val="40"/>
          <w:szCs w:val="40"/>
          <w:lang w:eastAsia="en-GB"/>
        </w:rPr>
        <w:t>Febr</w:t>
      </w:r>
      <w:r w:rsidR="00EC5BD0">
        <w:rPr>
          <w:rFonts w:asciiTheme="minorHAnsi" w:hAnsiTheme="minorHAnsi" w:cstheme="minorHAnsi"/>
          <w:b/>
          <w:sz w:val="40"/>
          <w:szCs w:val="40"/>
          <w:lang w:eastAsia="en-GB"/>
        </w:rPr>
        <w:t>uary 2021</w:t>
      </w:r>
      <w:r w:rsidR="00454DC4">
        <w:rPr>
          <w:rFonts w:ascii="Trebuchet MS" w:hAnsi="Trebuchet MS" w:cs="Verdana"/>
          <w:b/>
          <w:sz w:val="40"/>
          <w:szCs w:val="40"/>
          <w:lang w:eastAsia="en-GB"/>
        </w:rPr>
        <w:br w:type="page"/>
      </w:r>
    </w:p>
    <w:sdt>
      <w:sdtPr>
        <w:rPr>
          <w:rFonts w:asciiTheme="minorHAnsi" w:eastAsia="Times New Roman" w:hAnsiTheme="minorHAnsi" w:cstheme="minorHAnsi"/>
          <w:color w:val="auto"/>
          <w:sz w:val="24"/>
          <w:szCs w:val="24"/>
          <w:lang w:val="en-GB"/>
        </w:rPr>
        <w:id w:val="-24258752"/>
        <w:docPartObj>
          <w:docPartGallery w:val="Table of Contents"/>
          <w:docPartUnique/>
        </w:docPartObj>
      </w:sdtPr>
      <w:sdtEndPr>
        <w:rPr>
          <w:b/>
          <w:bCs/>
          <w:noProof/>
        </w:rPr>
      </w:sdtEndPr>
      <w:sdtContent>
        <w:p w:rsidR="003C344A" w:rsidRPr="006E2612" w:rsidRDefault="003C344A" w:rsidP="00C76F94">
          <w:pPr>
            <w:pStyle w:val="TOCHeading"/>
            <w:spacing w:before="0" w:line="240" w:lineRule="auto"/>
            <w:ind w:right="-471"/>
            <w:rPr>
              <w:rFonts w:asciiTheme="minorHAnsi" w:hAnsiTheme="minorHAnsi" w:cstheme="minorHAnsi"/>
              <w:b/>
              <w:sz w:val="36"/>
              <w:szCs w:val="36"/>
            </w:rPr>
          </w:pPr>
          <w:r w:rsidRPr="006E2612">
            <w:rPr>
              <w:rFonts w:asciiTheme="minorHAnsi" w:hAnsiTheme="minorHAnsi" w:cstheme="minorHAnsi"/>
              <w:b/>
              <w:sz w:val="36"/>
              <w:szCs w:val="36"/>
            </w:rPr>
            <w:t>Contents</w:t>
          </w:r>
        </w:p>
        <w:p w:rsidR="00C76F94" w:rsidRPr="0055456B" w:rsidRDefault="00C76F94" w:rsidP="007453B6">
          <w:pPr>
            <w:spacing w:before="60"/>
            <w:jc w:val="right"/>
            <w:rPr>
              <w:rFonts w:asciiTheme="minorHAnsi" w:hAnsiTheme="minorHAnsi" w:cstheme="minorHAnsi"/>
              <w:b/>
              <w:lang w:val="en-US"/>
            </w:rPr>
          </w:pPr>
          <w:r w:rsidRPr="0055456B">
            <w:rPr>
              <w:rFonts w:asciiTheme="minorHAnsi" w:hAnsiTheme="minorHAnsi" w:cstheme="minorHAnsi"/>
              <w:b/>
              <w:lang w:val="en-US"/>
            </w:rPr>
            <w:t>Page</w:t>
          </w:r>
        </w:p>
        <w:p w:rsidR="00952E4E" w:rsidRPr="00952E4E" w:rsidRDefault="003C344A" w:rsidP="00952E4E">
          <w:pPr>
            <w:pStyle w:val="TOC1"/>
            <w:spacing w:after="80"/>
            <w:rPr>
              <w:rFonts w:asciiTheme="minorHAnsi" w:eastAsiaTheme="minorEastAsia" w:hAnsiTheme="minorHAnsi" w:cstheme="minorHAnsi"/>
              <w:b/>
              <w:noProof/>
              <w:lang w:eastAsia="en-GB"/>
            </w:rPr>
          </w:pPr>
          <w:r w:rsidRPr="00952E4E">
            <w:rPr>
              <w:rStyle w:val="Hyperlink"/>
              <w:rFonts w:asciiTheme="minorHAnsi" w:hAnsiTheme="minorHAnsi" w:cstheme="minorHAnsi"/>
              <w:b/>
              <w:lang w:eastAsia="en-GB"/>
            </w:rPr>
            <w:fldChar w:fldCharType="begin"/>
          </w:r>
          <w:r w:rsidRPr="00952E4E">
            <w:rPr>
              <w:rStyle w:val="Hyperlink"/>
              <w:rFonts w:asciiTheme="minorHAnsi" w:hAnsiTheme="minorHAnsi" w:cstheme="minorHAnsi"/>
              <w:b/>
              <w:noProof/>
              <w:lang w:eastAsia="en-GB"/>
            </w:rPr>
            <w:instrText xml:space="preserve"> TOC \o "1-3" \h \z \u </w:instrText>
          </w:r>
          <w:r w:rsidRPr="00952E4E">
            <w:rPr>
              <w:rStyle w:val="Hyperlink"/>
              <w:rFonts w:asciiTheme="minorHAnsi" w:hAnsiTheme="minorHAnsi" w:cstheme="minorHAnsi"/>
              <w:b/>
              <w:lang w:eastAsia="en-GB"/>
            </w:rPr>
            <w:fldChar w:fldCharType="separate"/>
          </w:r>
          <w:hyperlink w:anchor="_Toc65242887" w:history="1">
            <w:r w:rsidR="00952E4E" w:rsidRPr="00952E4E">
              <w:rPr>
                <w:rStyle w:val="Hyperlink"/>
                <w:rFonts w:asciiTheme="minorHAnsi" w:hAnsiTheme="minorHAnsi" w:cstheme="minorHAnsi"/>
                <w:b/>
                <w:noProof/>
                <w:lang w:eastAsia="en-GB"/>
              </w:rPr>
              <w:t>1.</w:t>
            </w:r>
            <w:r w:rsidR="00952E4E" w:rsidRPr="00952E4E">
              <w:rPr>
                <w:rFonts w:asciiTheme="minorHAnsi" w:eastAsiaTheme="minorEastAsia" w:hAnsiTheme="minorHAnsi" w:cstheme="minorHAnsi"/>
                <w:b/>
                <w:noProof/>
                <w:lang w:eastAsia="en-GB"/>
              </w:rPr>
              <w:tab/>
            </w:r>
            <w:r w:rsidR="00952E4E" w:rsidRPr="00952E4E">
              <w:rPr>
                <w:rStyle w:val="Hyperlink"/>
                <w:rFonts w:asciiTheme="minorHAnsi" w:hAnsiTheme="minorHAnsi" w:cstheme="minorHAnsi"/>
                <w:b/>
                <w:noProof/>
                <w:lang w:eastAsia="en-GB"/>
              </w:rPr>
              <w:t>Introduction</w:t>
            </w:r>
            <w:r w:rsidR="00952E4E" w:rsidRPr="00952E4E">
              <w:rPr>
                <w:rFonts w:asciiTheme="minorHAnsi" w:hAnsiTheme="minorHAnsi" w:cstheme="minorHAnsi"/>
                <w:b/>
                <w:noProof/>
                <w:webHidden/>
              </w:rPr>
              <w:tab/>
            </w:r>
            <w:r w:rsidR="00952E4E" w:rsidRPr="00952E4E">
              <w:rPr>
                <w:rFonts w:asciiTheme="minorHAnsi" w:hAnsiTheme="minorHAnsi" w:cstheme="minorHAnsi"/>
                <w:b/>
                <w:noProof/>
                <w:webHidden/>
              </w:rPr>
              <w:fldChar w:fldCharType="begin"/>
            </w:r>
            <w:r w:rsidR="00952E4E" w:rsidRPr="00952E4E">
              <w:rPr>
                <w:rFonts w:asciiTheme="minorHAnsi" w:hAnsiTheme="minorHAnsi" w:cstheme="minorHAnsi"/>
                <w:b/>
                <w:noProof/>
                <w:webHidden/>
              </w:rPr>
              <w:instrText xml:space="preserve"> PAGEREF _Toc65242887 \h </w:instrText>
            </w:r>
            <w:r w:rsidR="00952E4E" w:rsidRPr="00952E4E">
              <w:rPr>
                <w:rFonts w:asciiTheme="minorHAnsi" w:hAnsiTheme="minorHAnsi" w:cstheme="minorHAnsi"/>
                <w:b/>
                <w:noProof/>
                <w:webHidden/>
              </w:rPr>
            </w:r>
            <w:r w:rsidR="00952E4E"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w:t>
            </w:r>
            <w:r w:rsidR="00952E4E" w:rsidRPr="00952E4E">
              <w:rPr>
                <w:rFonts w:asciiTheme="minorHAnsi" w:hAnsiTheme="minorHAnsi" w:cstheme="minorHAnsi"/>
                <w:b/>
                <w:noProof/>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888" w:history="1">
            <w:r w:rsidRPr="00952E4E">
              <w:rPr>
                <w:rStyle w:val="Hyperlink"/>
                <w:rFonts w:asciiTheme="minorHAnsi" w:hAnsiTheme="minorHAnsi" w:cstheme="minorHAnsi"/>
                <w:b/>
                <w:noProof/>
                <w:lang w:eastAsia="en-GB"/>
              </w:rPr>
              <w:t>2.</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Consultation</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_Toc65242888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7</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889"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_Toc65242889 \h </w:instrText>
            </w:r>
            <w:r w:rsidRPr="00952E4E">
              <w:rPr>
                <w:i w:val="0"/>
                <w:webHidden/>
              </w:rPr>
            </w:r>
            <w:r w:rsidRPr="00952E4E">
              <w:rPr>
                <w:i w:val="0"/>
                <w:webHidden/>
              </w:rPr>
              <w:fldChar w:fldCharType="separate"/>
            </w:r>
            <w:r w:rsidR="00275A50">
              <w:rPr>
                <w:i w:val="0"/>
                <w:webHidden/>
              </w:rPr>
              <w:t>7</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890"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_Toc65242890 \h </w:instrText>
            </w:r>
            <w:r w:rsidRPr="00952E4E">
              <w:rPr>
                <w:i w:val="0"/>
                <w:webHidden/>
              </w:rPr>
            </w:r>
            <w:r w:rsidRPr="00952E4E">
              <w:rPr>
                <w:i w:val="0"/>
                <w:webHidden/>
              </w:rPr>
              <w:fldChar w:fldCharType="separate"/>
            </w:r>
            <w:r w:rsidR="00275A50">
              <w:rPr>
                <w:i w:val="0"/>
                <w:webHidden/>
              </w:rPr>
              <w:t>9</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891" w:history="1">
            <w:r w:rsidRPr="00952E4E">
              <w:rPr>
                <w:rStyle w:val="Hyperlink"/>
                <w:rFonts w:asciiTheme="minorHAnsi" w:hAnsiTheme="minorHAnsi" w:cstheme="minorHAnsi"/>
                <w:b/>
                <w:noProof/>
                <w:lang w:eastAsia="en-GB"/>
              </w:rPr>
              <w:t>3.</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Sustainability Appraisal</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_Toc65242891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10</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892"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_Toc65242892 \h </w:instrText>
            </w:r>
            <w:r w:rsidRPr="00952E4E">
              <w:rPr>
                <w:i w:val="0"/>
                <w:webHidden/>
              </w:rPr>
            </w:r>
            <w:r w:rsidRPr="00952E4E">
              <w:rPr>
                <w:i w:val="0"/>
                <w:webHidden/>
              </w:rPr>
              <w:fldChar w:fldCharType="separate"/>
            </w:r>
            <w:r w:rsidR="00275A50">
              <w:rPr>
                <w:i w:val="0"/>
                <w:webHidden/>
              </w:rPr>
              <w:t>10</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893"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_Toc65242893 \h </w:instrText>
            </w:r>
            <w:r w:rsidRPr="00952E4E">
              <w:rPr>
                <w:i w:val="0"/>
                <w:webHidden/>
              </w:rPr>
            </w:r>
            <w:r w:rsidRPr="00952E4E">
              <w:rPr>
                <w:i w:val="0"/>
                <w:webHidden/>
              </w:rPr>
              <w:fldChar w:fldCharType="separate"/>
            </w:r>
            <w:r w:rsidR="00275A50">
              <w:rPr>
                <w:i w:val="0"/>
                <w:webHidden/>
              </w:rPr>
              <w:t>11</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894" w:history="1">
            <w:r w:rsidRPr="00952E4E">
              <w:rPr>
                <w:rStyle w:val="Hyperlink"/>
                <w:rFonts w:asciiTheme="minorHAnsi" w:hAnsiTheme="minorHAnsi" w:cstheme="minorHAnsi"/>
                <w:b/>
                <w:noProof/>
                <w:lang w:eastAsia="en-GB"/>
              </w:rPr>
              <w:t>4.</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SP1 The Shropshire Test (and Spatial Vision)</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_Toc65242894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12</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895"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_Toc65242895 \h </w:instrText>
            </w:r>
            <w:r w:rsidRPr="00952E4E">
              <w:rPr>
                <w:i w:val="0"/>
                <w:webHidden/>
              </w:rPr>
            </w:r>
            <w:r w:rsidRPr="00952E4E">
              <w:rPr>
                <w:i w:val="0"/>
                <w:webHidden/>
              </w:rPr>
              <w:fldChar w:fldCharType="separate"/>
            </w:r>
            <w:r w:rsidR="00275A50">
              <w:rPr>
                <w:i w:val="0"/>
                <w:webHidden/>
              </w:rPr>
              <w:t>12</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896"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_Toc65242896 \h </w:instrText>
            </w:r>
            <w:r w:rsidRPr="00952E4E">
              <w:rPr>
                <w:i w:val="0"/>
                <w:webHidden/>
              </w:rPr>
            </w:r>
            <w:r w:rsidRPr="00952E4E">
              <w:rPr>
                <w:i w:val="0"/>
                <w:webHidden/>
              </w:rPr>
              <w:fldChar w:fldCharType="separate"/>
            </w:r>
            <w:r w:rsidR="00275A50">
              <w:rPr>
                <w:i w:val="0"/>
                <w:webHidden/>
              </w:rPr>
              <w:t>12</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897" w:history="1">
            <w:r w:rsidRPr="00952E4E">
              <w:rPr>
                <w:rStyle w:val="Hyperlink"/>
                <w:rFonts w:asciiTheme="minorHAnsi" w:hAnsiTheme="minorHAnsi" w:cstheme="minorHAnsi"/>
                <w:b/>
                <w:noProof/>
                <w:lang w:eastAsia="en-GB"/>
              </w:rPr>
              <w:t>5.</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SP2 Strategic Approach and the Climate Emergency</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_Toc65242897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14</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898"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_Toc65242898 \h </w:instrText>
            </w:r>
            <w:r w:rsidRPr="00952E4E">
              <w:rPr>
                <w:i w:val="0"/>
                <w:webHidden/>
              </w:rPr>
            </w:r>
            <w:r w:rsidRPr="00952E4E">
              <w:rPr>
                <w:i w:val="0"/>
                <w:webHidden/>
              </w:rPr>
              <w:fldChar w:fldCharType="separate"/>
            </w:r>
            <w:r w:rsidR="00275A50">
              <w:rPr>
                <w:i w:val="0"/>
                <w:webHidden/>
              </w:rPr>
              <w:t>14</w:t>
            </w:r>
            <w:r w:rsidRPr="00952E4E">
              <w:rPr>
                <w:i w:val="0"/>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899" w:history="1">
            <w:r w:rsidRPr="00952E4E">
              <w:rPr>
                <w:rStyle w:val="Hyperlink"/>
                <w:rFonts w:asciiTheme="minorHAnsi" w:eastAsiaTheme="minorHAnsi" w:hAnsiTheme="minorHAnsi" w:cstheme="minorHAnsi"/>
                <w:b/>
                <w:noProof/>
                <w:lang w:eastAsia="en-GB"/>
              </w:rPr>
              <w:t>The climate emergency and carbon footprints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_Toc65242899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19</w:t>
            </w:r>
            <w:r w:rsidRPr="00952E4E">
              <w:rPr>
                <w:rFonts w:asciiTheme="minorHAnsi" w:hAnsiTheme="minorHAnsi" w:cstheme="minorHAnsi"/>
                <w:b/>
                <w:noProof/>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00" w:history="1">
            <w:r w:rsidRPr="00952E4E">
              <w:rPr>
                <w:rStyle w:val="Hyperlink"/>
                <w:rFonts w:asciiTheme="minorHAnsi" w:eastAsiaTheme="minorHAnsi" w:hAnsiTheme="minorHAnsi" w:cstheme="minorHAnsi"/>
                <w:b/>
                <w:noProof/>
                <w:lang w:eastAsia="en-GB"/>
              </w:rPr>
              <w:t>The housing numbers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_Toc65242900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21</w:t>
            </w:r>
            <w:r w:rsidRPr="00952E4E">
              <w:rPr>
                <w:rFonts w:asciiTheme="minorHAnsi" w:hAnsiTheme="minorHAnsi" w:cstheme="minorHAnsi"/>
                <w:b/>
                <w:noProof/>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01" w:history="1">
            <w:r w:rsidRPr="00952E4E">
              <w:rPr>
                <w:rStyle w:val="Hyperlink"/>
                <w:rFonts w:asciiTheme="minorHAnsi" w:eastAsiaTheme="minorHAnsi" w:hAnsiTheme="minorHAnsi" w:cstheme="minorHAnsi"/>
                <w:b/>
                <w:noProof/>
                <w:lang w:eastAsia="en-GB"/>
              </w:rPr>
              <w:t>The employment numbers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_Toc65242901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23</w:t>
            </w:r>
            <w:r w:rsidRPr="00952E4E">
              <w:rPr>
                <w:rFonts w:asciiTheme="minorHAnsi" w:hAnsiTheme="minorHAnsi" w:cstheme="minorHAnsi"/>
                <w:b/>
                <w:noProof/>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02" w:history="1">
            <w:r w:rsidRPr="00952E4E">
              <w:rPr>
                <w:rStyle w:val="Hyperlink"/>
                <w:rFonts w:asciiTheme="minorHAnsi" w:eastAsiaTheme="minorHAnsi" w:hAnsiTheme="minorHAnsi" w:cstheme="minorHAnsi"/>
                <w:b/>
                <w:noProof/>
                <w:lang w:eastAsia="en-GB"/>
              </w:rPr>
              <w:t>Employment density</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_Toc65242902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25</w:t>
            </w:r>
            <w:r w:rsidRPr="00952E4E">
              <w:rPr>
                <w:rFonts w:asciiTheme="minorHAnsi" w:hAnsiTheme="minorHAnsi" w:cstheme="minorHAnsi"/>
                <w:b/>
                <w:noProof/>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03" w:history="1">
            <w:r w:rsidRPr="00952E4E">
              <w:rPr>
                <w:rStyle w:val="Hyperlink"/>
                <w:rFonts w:asciiTheme="minorHAnsi" w:eastAsiaTheme="minorHAnsi" w:hAnsiTheme="minorHAnsi" w:cstheme="minorHAnsi"/>
                <w:b/>
                <w:noProof/>
                <w:lang w:eastAsia="en-GB"/>
              </w:rPr>
              <w:t>The equation between houses and jobs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_Toc65242903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27</w:t>
            </w:r>
            <w:r w:rsidRPr="00952E4E">
              <w:rPr>
                <w:rFonts w:asciiTheme="minorHAnsi" w:hAnsiTheme="minorHAnsi" w:cstheme="minorHAnsi"/>
                <w:b/>
                <w:noProof/>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04" w:history="1">
            <w:r w:rsidRPr="00952E4E">
              <w:rPr>
                <w:rStyle w:val="Hyperlink"/>
                <w:rFonts w:asciiTheme="minorHAnsi" w:eastAsiaTheme="minorHAnsi" w:hAnsiTheme="minorHAnsi" w:cstheme="minorHAnsi"/>
                <w:b/>
                <w:noProof/>
                <w:lang w:eastAsia="en-GB"/>
              </w:rPr>
              <w:t>Other inconsistencies in the employment figures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_Toc65242904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28</w:t>
            </w:r>
            <w:r w:rsidRPr="00952E4E">
              <w:rPr>
                <w:rFonts w:asciiTheme="minorHAnsi" w:hAnsiTheme="minorHAnsi" w:cstheme="minorHAnsi"/>
                <w:b/>
                <w:noProof/>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05" w:history="1">
            <w:r w:rsidRPr="00952E4E">
              <w:rPr>
                <w:rStyle w:val="Hyperlink"/>
                <w:rFonts w:asciiTheme="minorHAnsi" w:eastAsiaTheme="minorHAnsi" w:hAnsiTheme="minorHAnsi" w:cstheme="minorHAnsi"/>
                <w:b/>
                <w:noProof/>
                <w:lang w:eastAsia="en-GB"/>
              </w:rPr>
              <w:t>Duty to Co-operate</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_Toc65242905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29</w:t>
            </w:r>
            <w:r w:rsidRPr="00952E4E">
              <w:rPr>
                <w:rFonts w:asciiTheme="minorHAnsi" w:hAnsiTheme="minorHAnsi" w:cstheme="minorHAnsi"/>
                <w:b/>
                <w:noProof/>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06" w:history="1">
            <w:r w:rsidRPr="00952E4E">
              <w:rPr>
                <w:rStyle w:val="Hyperlink"/>
                <w:rFonts w:asciiTheme="minorHAnsi" w:eastAsiaTheme="minorHAnsi" w:hAnsiTheme="minorHAnsi" w:cstheme="minorHAnsi"/>
                <w:b/>
                <w:noProof/>
                <w:lang w:eastAsia="en-GB"/>
              </w:rPr>
              <w:t>Hierarchy of Settlements and the designation of Community Hubs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_Toc65242906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29</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07" w:history="1">
            <w:r w:rsidRPr="00952E4E">
              <w:rPr>
                <w:rStyle w:val="Hyperlink"/>
                <w:rFonts w:eastAsiaTheme="minorHAnsi"/>
                <w:i w:val="0"/>
              </w:rPr>
              <w:t>Modification(s) considered necessary to SP2 as a whole</w:t>
            </w:r>
            <w:r w:rsidRPr="00952E4E">
              <w:rPr>
                <w:i w:val="0"/>
                <w:webHidden/>
              </w:rPr>
              <w:tab/>
            </w:r>
            <w:r w:rsidRPr="00952E4E">
              <w:rPr>
                <w:i w:val="0"/>
                <w:webHidden/>
              </w:rPr>
              <w:fldChar w:fldCharType="begin"/>
            </w:r>
            <w:r w:rsidRPr="00952E4E">
              <w:rPr>
                <w:i w:val="0"/>
                <w:webHidden/>
              </w:rPr>
              <w:instrText xml:space="preserve"> PAGEREF _Toc65242907 \h </w:instrText>
            </w:r>
            <w:r w:rsidRPr="00952E4E">
              <w:rPr>
                <w:i w:val="0"/>
                <w:webHidden/>
              </w:rPr>
            </w:r>
            <w:r w:rsidRPr="00952E4E">
              <w:rPr>
                <w:i w:val="0"/>
                <w:webHidden/>
              </w:rPr>
              <w:fldChar w:fldCharType="separate"/>
            </w:r>
            <w:r w:rsidR="00275A50">
              <w:rPr>
                <w:i w:val="0"/>
                <w:webHidden/>
              </w:rPr>
              <w:t>32</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08" w:history="1">
            <w:r w:rsidRPr="00952E4E">
              <w:rPr>
                <w:rStyle w:val="Hyperlink"/>
                <w:rFonts w:asciiTheme="minorHAnsi" w:hAnsiTheme="minorHAnsi" w:cstheme="minorHAnsi"/>
                <w:b/>
                <w:noProof/>
                <w:lang w:eastAsia="en-GB"/>
              </w:rPr>
              <w:t>6.</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SP3 Climate Change</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_Toc65242908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34</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09"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_Toc65242909 \h </w:instrText>
            </w:r>
            <w:r w:rsidRPr="00952E4E">
              <w:rPr>
                <w:i w:val="0"/>
                <w:webHidden/>
              </w:rPr>
            </w:r>
            <w:r w:rsidRPr="00952E4E">
              <w:rPr>
                <w:i w:val="0"/>
                <w:webHidden/>
              </w:rPr>
              <w:fldChar w:fldCharType="separate"/>
            </w:r>
            <w:r w:rsidR="00275A50">
              <w:rPr>
                <w:i w:val="0"/>
                <w:webHidden/>
              </w:rPr>
              <w:t>34</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10"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_Toc65242910 \h </w:instrText>
            </w:r>
            <w:r w:rsidRPr="00952E4E">
              <w:rPr>
                <w:i w:val="0"/>
                <w:webHidden/>
              </w:rPr>
            </w:r>
            <w:r w:rsidRPr="00952E4E">
              <w:rPr>
                <w:i w:val="0"/>
                <w:webHidden/>
              </w:rPr>
              <w:fldChar w:fldCharType="separate"/>
            </w:r>
            <w:r w:rsidR="00275A50">
              <w:rPr>
                <w:i w:val="0"/>
                <w:webHidden/>
              </w:rPr>
              <w:t>37</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11" w:history="1">
            <w:r w:rsidRPr="00952E4E">
              <w:rPr>
                <w:rStyle w:val="Hyperlink"/>
                <w:rFonts w:asciiTheme="minorHAnsi" w:hAnsiTheme="minorHAnsi" w:cstheme="minorHAnsi"/>
                <w:b/>
                <w:noProof/>
                <w:lang w:eastAsia="en-GB"/>
              </w:rPr>
              <w:t>7.</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SP7 Managing Housing Development</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_Toc65242911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38</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12"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_Toc65242912 \h </w:instrText>
            </w:r>
            <w:r w:rsidRPr="00952E4E">
              <w:rPr>
                <w:i w:val="0"/>
                <w:webHidden/>
              </w:rPr>
            </w:r>
            <w:r w:rsidRPr="00952E4E">
              <w:rPr>
                <w:i w:val="0"/>
                <w:webHidden/>
              </w:rPr>
              <w:fldChar w:fldCharType="separate"/>
            </w:r>
            <w:r w:rsidR="00275A50">
              <w:rPr>
                <w:i w:val="0"/>
                <w:webHidden/>
              </w:rPr>
              <w:t>38</w:t>
            </w:r>
            <w:r w:rsidRPr="00952E4E">
              <w:rPr>
                <w:i w:val="0"/>
                <w:webHidden/>
              </w:rPr>
              <w:fldChar w:fldCharType="end"/>
            </w:r>
          </w:hyperlink>
        </w:p>
        <w:p w:rsidR="00952E4E" w:rsidRPr="00952E4E" w:rsidRDefault="00952E4E" w:rsidP="00952E4E">
          <w:pPr>
            <w:pStyle w:val="TOC3"/>
            <w:spacing w:after="80"/>
            <w:rPr>
              <w:rFonts w:asciiTheme="minorHAnsi" w:eastAsiaTheme="minorEastAsia" w:hAnsiTheme="minorHAnsi" w:cstheme="minorHAnsi"/>
              <w:b/>
              <w:noProof/>
              <w:lang w:eastAsia="en-GB"/>
            </w:rPr>
          </w:pPr>
          <w:hyperlink w:anchor="_Toc65242913" w:history="1">
            <w:r w:rsidRPr="00952E4E">
              <w:rPr>
                <w:rStyle w:val="Hyperlink"/>
                <w:rFonts w:asciiTheme="minorHAnsi" w:eastAsiaTheme="minorHAnsi" w:hAnsiTheme="minorHAnsi" w:cstheme="minorHAnsi"/>
                <w:b/>
                <w:noProof/>
                <w:lang w:eastAsia="en-GB"/>
              </w:rPr>
              <w:t>The right home in the right place</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_Toc65242913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38</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14"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_Toc65242914 \h </w:instrText>
            </w:r>
            <w:r w:rsidRPr="00952E4E">
              <w:rPr>
                <w:i w:val="0"/>
                <w:webHidden/>
              </w:rPr>
            </w:r>
            <w:r w:rsidRPr="00952E4E">
              <w:rPr>
                <w:i w:val="0"/>
                <w:webHidden/>
              </w:rPr>
              <w:fldChar w:fldCharType="separate"/>
            </w:r>
            <w:r w:rsidR="00275A50">
              <w:rPr>
                <w:i w:val="0"/>
                <w:webHidden/>
              </w:rPr>
              <w:t>39</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15" w:history="1">
            <w:r w:rsidRPr="00952E4E">
              <w:rPr>
                <w:rStyle w:val="Hyperlink"/>
                <w:rFonts w:asciiTheme="minorHAnsi" w:hAnsiTheme="minorHAnsi" w:cstheme="minorHAnsi"/>
                <w:b/>
                <w:noProof/>
                <w:lang w:eastAsia="en-GB"/>
              </w:rPr>
              <w:t>8.</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SP11 Green Belt and Safeguarded Land</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_Toc65242915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40</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16"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_Toc65242916 \h </w:instrText>
            </w:r>
            <w:r w:rsidRPr="00952E4E">
              <w:rPr>
                <w:i w:val="0"/>
                <w:webHidden/>
              </w:rPr>
            </w:r>
            <w:r w:rsidRPr="00952E4E">
              <w:rPr>
                <w:i w:val="0"/>
                <w:webHidden/>
              </w:rPr>
              <w:fldChar w:fldCharType="separate"/>
            </w:r>
            <w:r w:rsidR="00275A50">
              <w:rPr>
                <w:i w:val="0"/>
                <w:webHidden/>
              </w:rPr>
              <w:t>40</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17"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_Toc65242917 \h </w:instrText>
            </w:r>
            <w:r w:rsidRPr="00952E4E">
              <w:rPr>
                <w:i w:val="0"/>
                <w:webHidden/>
              </w:rPr>
            </w:r>
            <w:r w:rsidRPr="00952E4E">
              <w:rPr>
                <w:i w:val="0"/>
                <w:webHidden/>
              </w:rPr>
              <w:fldChar w:fldCharType="separate"/>
            </w:r>
            <w:r w:rsidR="00275A50">
              <w:rPr>
                <w:i w:val="0"/>
                <w:webHidden/>
              </w:rPr>
              <w:t>41</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18" w:history="1">
            <w:r w:rsidRPr="00952E4E">
              <w:rPr>
                <w:rStyle w:val="Hyperlink"/>
                <w:rFonts w:asciiTheme="minorHAnsi" w:hAnsiTheme="minorHAnsi" w:cstheme="minorHAnsi"/>
                <w:b/>
                <w:noProof/>
                <w:lang w:eastAsia="en-GB"/>
              </w:rPr>
              <w:t>9.</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SP12 Shropshire Economic Growth Strategy</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_Toc65242918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42</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19"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_Toc65242919 \h </w:instrText>
            </w:r>
            <w:r w:rsidRPr="00952E4E">
              <w:rPr>
                <w:i w:val="0"/>
                <w:webHidden/>
              </w:rPr>
            </w:r>
            <w:r w:rsidRPr="00952E4E">
              <w:rPr>
                <w:i w:val="0"/>
                <w:webHidden/>
              </w:rPr>
              <w:fldChar w:fldCharType="separate"/>
            </w:r>
            <w:r w:rsidR="00275A50">
              <w:rPr>
                <w:i w:val="0"/>
                <w:webHidden/>
              </w:rPr>
              <w:t>42</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20"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_Toc65242920 \h </w:instrText>
            </w:r>
            <w:r w:rsidRPr="00952E4E">
              <w:rPr>
                <w:i w:val="0"/>
                <w:webHidden/>
              </w:rPr>
            </w:r>
            <w:r w:rsidRPr="00952E4E">
              <w:rPr>
                <w:i w:val="0"/>
                <w:webHidden/>
              </w:rPr>
              <w:fldChar w:fldCharType="separate"/>
            </w:r>
            <w:r w:rsidR="00275A50">
              <w:rPr>
                <w:i w:val="0"/>
                <w:webHidden/>
              </w:rPr>
              <w:t>43</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21" w:history="1">
            <w:r w:rsidRPr="00952E4E">
              <w:rPr>
                <w:rStyle w:val="Hyperlink"/>
                <w:rFonts w:asciiTheme="minorHAnsi" w:hAnsiTheme="minorHAnsi" w:cstheme="minorHAnsi"/>
                <w:b/>
                <w:noProof/>
                <w:lang w:eastAsia="en-GB"/>
              </w:rPr>
              <w:t>10.</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SP15 Whole Estate Plans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_Toc65242921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44</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22"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_Toc65242922 \h </w:instrText>
            </w:r>
            <w:r w:rsidRPr="00952E4E">
              <w:rPr>
                <w:i w:val="0"/>
                <w:webHidden/>
              </w:rPr>
            </w:r>
            <w:r w:rsidRPr="00952E4E">
              <w:rPr>
                <w:i w:val="0"/>
                <w:webHidden/>
              </w:rPr>
              <w:fldChar w:fldCharType="separate"/>
            </w:r>
            <w:r w:rsidR="00275A50">
              <w:rPr>
                <w:i w:val="0"/>
                <w:webHidden/>
              </w:rPr>
              <w:t>44</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23"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_Toc65242923 \h </w:instrText>
            </w:r>
            <w:r w:rsidRPr="00952E4E">
              <w:rPr>
                <w:i w:val="0"/>
                <w:webHidden/>
              </w:rPr>
            </w:r>
            <w:r w:rsidRPr="00952E4E">
              <w:rPr>
                <w:i w:val="0"/>
                <w:webHidden/>
              </w:rPr>
              <w:fldChar w:fldCharType="separate"/>
            </w:r>
            <w:r w:rsidR="00275A50">
              <w:rPr>
                <w:i w:val="0"/>
                <w:webHidden/>
              </w:rPr>
              <w:t>44</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24" w:history="1">
            <w:r w:rsidRPr="00952E4E">
              <w:rPr>
                <w:rStyle w:val="Hyperlink"/>
                <w:rFonts w:asciiTheme="minorHAnsi" w:hAnsiTheme="minorHAnsi" w:cstheme="minorHAnsi"/>
                <w:b/>
                <w:noProof/>
                <w:lang w:eastAsia="en-GB"/>
              </w:rPr>
              <w:t>11.</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DP11 Minimising Carbon Emissions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_Toc65242924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45</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25"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_Toc65242925 \h </w:instrText>
            </w:r>
            <w:r w:rsidRPr="00952E4E">
              <w:rPr>
                <w:i w:val="0"/>
                <w:webHidden/>
              </w:rPr>
            </w:r>
            <w:r w:rsidRPr="00952E4E">
              <w:rPr>
                <w:i w:val="0"/>
                <w:webHidden/>
              </w:rPr>
              <w:fldChar w:fldCharType="separate"/>
            </w:r>
            <w:r w:rsidR="00275A50">
              <w:rPr>
                <w:i w:val="0"/>
                <w:webHidden/>
              </w:rPr>
              <w:t>45</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26"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_Toc65242926 \h </w:instrText>
            </w:r>
            <w:r w:rsidRPr="00952E4E">
              <w:rPr>
                <w:i w:val="0"/>
                <w:webHidden/>
              </w:rPr>
            </w:r>
            <w:r w:rsidRPr="00952E4E">
              <w:rPr>
                <w:i w:val="0"/>
                <w:webHidden/>
              </w:rPr>
              <w:fldChar w:fldCharType="separate"/>
            </w:r>
            <w:r w:rsidR="00275A50">
              <w:rPr>
                <w:i w:val="0"/>
                <w:webHidden/>
              </w:rPr>
              <w:t>45</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27" w:history="1">
            <w:r w:rsidRPr="00952E4E">
              <w:rPr>
                <w:rStyle w:val="Hyperlink"/>
                <w:rFonts w:asciiTheme="minorHAnsi" w:hAnsiTheme="minorHAnsi" w:cstheme="minorHAnsi"/>
                <w:b/>
                <w:noProof/>
                <w:lang w:eastAsia="en-GB"/>
              </w:rPr>
              <w:t>12.</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DP23 Conserving and Enhancing the Historic Environment</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_Toc65242927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47</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28"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_Toc65242928 \h </w:instrText>
            </w:r>
            <w:r w:rsidRPr="00952E4E">
              <w:rPr>
                <w:i w:val="0"/>
                <w:webHidden/>
              </w:rPr>
            </w:r>
            <w:r w:rsidRPr="00952E4E">
              <w:rPr>
                <w:i w:val="0"/>
                <w:webHidden/>
              </w:rPr>
              <w:fldChar w:fldCharType="separate"/>
            </w:r>
            <w:r w:rsidR="00275A50">
              <w:rPr>
                <w:i w:val="0"/>
                <w:webHidden/>
              </w:rPr>
              <w:t>47</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29"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_Toc65242929 \h </w:instrText>
            </w:r>
            <w:r w:rsidRPr="00952E4E">
              <w:rPr>
                <w:i w:val="0"/>
                <w:webHidden/>
              </w:rPr>
            </w:r>
            <w:r w:rsidRPr="00952E4E">
              <w:rPr>
                <w:i w:val="0"/>
                <w:webHidden/>
              </w:rPr>
              <w:fldChar w:fldCharType="separate"/>
            </w:r>
            <w:r w:rsidR="00275A50">
              <w:rPr>
                <w:i w:val="0"/>
                <w:webHidden/>
              </w:rPr>
              <w:t>47</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30" w:history="1">
            <w:r w:rsidRPr="00952E4E">
              <w:rPr>
                <w:rStyle w:val="Hyperlink"/>
                <w:rFonts w:asciiTheme="minorHAnsi" w:hAnsiTheme="minorHAnsi" w:cstheme="minorHAnsi"/>
                <w:b/>
                <w:noProof/>
                <w:lang w:eastAsia="en-GB"/>
              </w:rPr>
              <w:t>13.</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DP24 Shropshire Hills Area of Outstanding Natural Beauty</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_Toc65242930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48</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31"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_Toc65242931 \h </w:instrText>
            </w:r>
            <w:r w:rsidRPr="00952E4E">
              <w:rPr>
                <w:i w:val="0"/>
                <w:webHidden/>
              </w:rPr>
            </w:r>
            <w:r w:rsidRPr="00952E4E">
              <w:rPr>
                <w:i w:val="0"/>
                <w:webHidden/>
              </w:rPr>
              <w:fldChar w:fldCharType="separate"/>
            </w:r>
            <w:r w:rsidR="00275A50">
              <w:rPr>
                <w:i w:val="0"/>
                <w:webHidden/>
              </w:rPr>
              <w:t>48</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32"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_Toc65242932 \h </w:instrText>
            </w:r>
            <w:r w:rsidRPr="00952E4E">
              <w:rPr>
                <w:i w:val="0"/>
                <w:webHidden/>
              </w:rPr>
            </w:r>
            <w:r w:rsidRPr="00952E4E">
              <w:rPr>
                <w:i w:val="0"/>
                <w:webHidden/>
              </w:rPr>
              <w:fldChar w:fldCharType="separate"/>
            </w:r>
            <w:r w:rsidR="00275A50">
              <w:rPr>
                <w:i w:val="0"/>
                <w:webHidden/>
              </w:rPr>
              <w:t>48</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33" w:history="1">
            <w:r w:rsidRPr="00952E4E">
              <w:rPr>
                <w:rStyle w:val="Hyperlink"/>
                <w:rFonts w:asciiTheme="minorHAnsi" w:hAnsiTheme="minorHAnsi" w:cstheme="minorHAnsi"/>
                <w:b/>
                <w:noProof/>
                <w:lang w:eastAsia="en-GB"/>
              </w:rPr>
              <w:t>14.</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DP26 Strategic, Renewable and Low Carbon Infrastructure</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_Toc65242933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49</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34"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_Toc65242934 \h </w:instrText>
            </w:r>
            <w:r w:rsidRPr="00952E4E">
              <w:rPr>
                <w:i w:val="0"/>
                <w:webHidden/>
              </w:rPr>
            </w:r>
            <w:r w:rsidRPr="00952E4E">
              <w:rPr>
                <w:i w:val="0"/>
                <w:webHidden/>
              </w:rPr>
              <w:fldChar w:fldCharType="separate"/>
            </w:r>
            <w:r w:rsidR="00275A50">
              <w:rPr>
                <w:i w:val="0"/>
                <w:webHidden/>
              </w:rPr>
              <w:t>49</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35" w:history="1">
            <w:r w:rsidRPr="00952E4E">
              <w:rPr>
                <w:rStyle w:val="Hyperlink"/>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_Toc65242935 \h </w:instrText>
            </w:r>
            <w:r w:rsidRPr="00952E4E">
              <w:rPr>
                <w:i w:val="0"/>
                <w:webHidden/>
              </w:rPr>
            </w:r>
            <w:r w:rsidRPr="00952E4E">
              <w:rPr>
                <w:i w:val="0"/>
                <w:webHidden/>
              </w:rPr>
              <w:fldChar w:fldCharType="separate"/>
            </w:r>
            <w:r w:rsidR="00275A50">
              <w:rPr>
                <w:i w:val="0"/>
                <w:webHidden/>
              </w:rPr>
              <w:t>49</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36" w:history="1">
            <w:r w:rsidRPr="00952E4E">
              <w:rPr>
                <w:rStyle w:val="Hyperlink"/>
                <w:rFonts w:asciiTheme="minorHAnsi" w:hAnsiTheme="minorHAnsi" w:cstheme="minorHAnsi"/>
                <w:b/>
                <w:noProof/>
                <w:lang w:eastAsia="en-GB"/>
              </w:rPr>
              <w:t>15.</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DP28 Communications and Transport</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_Toc65242936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50</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37"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_Toc65242937 \h </w:instrText>
            </w:r>
            <w:r w:rsidRPr="00952E4E">
              <w:rPr>
                <w:i w:val="0"/>
                <w:webHidden/>
              </w:rPr>
            </w:r>
            <w:r w:rsidRPr="00952E4E">
              <w:rPr>
                <w:i w:val="0"/>
                <w:webHidden/>
              </w:rPr>
              <w:fldChar w:fldCharType="separate"/>
            </w:r>
            <w:r w:rsidR="00275A50">
              <w:rPr>
                <w:i w:val="0"/>
                <w:webHidden/>
              </w:rPr>
              <w:t>50</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38" w:history="1">
            <w:r w:rsidRPr="00952E4E">
              <w:rPr>
                <w:rStyle w:val="Hyperlink"/>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_Toc65242938 \h </w:instrText>
            </w:r>
            <w:r w:rsidRPr="00952E4E">
              <w:rPr>
                <w:i w:val="0"/>
                <w:webHidden/>
              </w:rPr>
            </w:r>
            <w:r w:rsidRPr="00952E4E">
              <w:rPr>
                <w:i w:val="0"/>
                <w:webHidden/>
              </w:rPr>
              <w:fldChar w:fldCharType="separate"/>
            </w:r>
            <w:r w:rsidR="00275A50">
              <w:rPr>
                <w:i w:val="0"/>
                <w:webHidden/>
              </w:rPr>
              <w:t>51</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39" w:history="1">
            <w:r w:rsidRPr="00952E4E">
              <w:rPr>
                <w:rStyle w:val="Hyperlink"/>
                <w:rFonts w:asciiTheme="minorHAnsi" w:hAnsiTheme="minorHAnsi" w:cstheme="minorHAnsi"/>
                <w:b/>
                <w:noProof/>
                <w:lang w:eastAsia="en-GB"/>
              </w:rPr>
              <w:t>Settlement policies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_Toc65242939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52</w:t>
            </w:r>
            <w:r w:rsidRPr="00952E4E">
              <w:rPr>
                <w:rFonts w:asciiTheme="minorHAnsi" w:hAnsiTheme="minorHAnsi" w:cstheme="minorHAnsi"/>
                <w:b/>
                <w:noProof/>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40" w:history="1">
            <w:r w:rsidRPr="00952E4E">
              <w:rPr>
                <w:rStyle w:val="Hyperlink"/>
                <w:rFonts w:asciiTheme="minorHAnsi" w:hAnsiTheme="minorHAnsi" w:cstheme="minorHAnsi"/>
                <w:b/>
                <w:noProof/>
                <w:lang w:eastAsia="en-GB"/>
              </w:rPr>
              <w:t>16.</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S3 Bridgnorth Place Plan area</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_Toc65242940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52</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41"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_Toc65242941 \h </w:instrText>
            </w:r>
            <w:r w:rsidRPr="00952E4E">
              <w:rPr>
                <w:i w:val="0"/>
                <w:webHidden/>
              </w:rPr>
            </w:r>
            <w:r w:rsidRPr="00952E4E">
              <w:rPr>
                <w:i w:val="0"/>
                <w:webHidden/>
              </w:rPr>
              <w:fldChar w:fldCharType="separate"/>
            </w:r>
            <w:r w:rsidR="00275A50">
              <w:rPr>
                <w:i w:val="0"/>
                <w:webHidden/>
              </w:rPr>
              <w:t>52</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42"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_Toc65242942 \h </w:instrText>
            </w:r>
            <w:r w:rsidRPr="00952E4E">
              <w:rPr>
                <w:i w:val="0"/>
                <w:webHidden/>
              </w:rPr>
            </w:r>
            <w:r w:rsidRPr="00952E4E">
              <w:rPr>
                <w:i w:val="0"/>
                <w:webHidden/>
              </w:rPr>
              <w:fldChar w:fldCharType="separate"/>
            </w:r>
            <w:r w:rsidR="00275A50">
              <w:rPr>
                <w:i w:val="0"/>
                <w:webHidden/>
              </w:rPr>
              <w:t>53</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43" w:history="1">
            <w:r w:rsidRPr="00952E4E">
              <w:rPr>
                <w:rStyle w:val="Hyperlink"/>
                <w:rFonts w:asciiTheme="minorHAnsi" w:hAnsiTheme="minorHAnsi" w:cstheme="minorHAnsi"/>
                <w:b/>
                <w:noProof/>
                <w:lang w:eastAsia="en-GB"/>
              </w:rPr>
              <w:t>17.</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S11 Market Drayton Place Plan area</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_Toc65242943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54</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44"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_Toc65242944 \h </w:instrText>
            </w:r>
            <w:r w:rsidRPr="00952E4E">
              <w:rPr>
                <w:i w:val="0"/>
                <w:webHidden/>
              </w:rPr>
            </w:r>
            <w:r w:rsidRPr="00952E4E">
              <w:rPr>
                <w:i w:val="0"/>
                <w:webHidden/>
              </w:rPr>
              <w:fldChar w:fldCharType="separate"/>
            </w:r>
            <w:r w:rsidR="00275A50">
              <w:rPr>
                <w:i w:val="0"/>
                <w:webHidden/>
              </w:rPr>
              <w:t>54</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45"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_Toc65242945 \h </w:instrText>
            </w:r>
            <w:r w:rsidRPr="00952E4E">
              <w:rPr>
                <w:i w:val="0"/>
                <w:webHidden/>
              </w:rPr>
            </w:r>
            <w:r w:rsidRPr="00952E4E">
              <w:rPr>
                <w:i w:val="0"/>
                <w:webHidden/>
              </w:rPr>
              <w:fldChar w:fldCharType="separate"/>
            </w:r>
            <w:r w:rsidR="00275A50">
              <w:rPr>
                <w:i w:val="0"/>
                <w:webHidden/>
              </w:rPr>
              <w:t>54</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46" w:history="1">
            <w:r w:rsidRPr="00952E4E">
              <w:rPr>
                <w:rStyle w:val="Hyperlink"/>
                <w:rFonts w:asciiTheme="minorHAnsi" w:hAnsiTheme="minorHAnsi" w:cstheme="minorHAnsi"/>
                <w:b/>
                <w:noProof/>
                <w:lang w:eastAsia="en-GB"/>
              </w:rPr>
              <w:t>18.</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S14 Oswestry Place Plan area</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_Toc65242946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55</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47"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_Toc65242947 \h </w:instrText>
            </w:r>
            <w:r w:rsidRPr="00952E4E">
              <w:rPr>
                <w:i w:val="0"/>
                <w:webHidden/>
              </w:rPr>
            </w:r>
            <w:r w:rsidRPr="00952E4E">
              <w:rPr>
                <w:i w:val="0"/>
                <w:webHidden/>
              </w:rPr>
              <w:fldChar w:fldCharType="separate"/>
            </w:r>
            <w:r w:rsidR="00275A50">
              <w:rPr>
                <w:i w:val="0"/>
                <w:webHidden/>
              </w:rPr>
              <w:t>55</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48"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_Toc65242948 \h </w:instrText>
            </w:r>
            <w:r w:rsidRPr="00952E4E">
              <w:rPr>
                <w:i w:val="0"/>
                <w:webHidden/>
              </w:rPr>
            </w:r>
            <w:r w:rsidRPr="00952E4E">
              <w:rPr>
                <w:i w:val="0"/>
                <w:webHidden/>
              </w:rPr>
              <w:fldChar w:fldCharType="separate"/>
            </w:r>
            <w:r w:rsidR="00275A50">
              <w:rPr>
                <w:i w:val="0"/>
                <w:webHidden/>
              </w:rPr>
              <w:t>56</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49" w:history="1">
            <w:r w:rsidRPr="00952E4E">
              <w:rPr>
                <w:rStyle w:val="Hyperlink"/>
                <w:rFonts w:asciiTheme="minorHAnsi" w:hAnsiTheme="minorHAnsi" w:cstheme="minorHAnsi"/>
                <w:b/>
                <w:noProof/>
                <w:lang w:eastAsia="en-GB"/>
              </w:rPr>
              <w:t>19.</w:t>
            </w:r>
            <w:r w:rsidRPr="00952E4E">
              <w:rPr>
                <w:rFonts w:asciiTheme="minorHAnsi" w:eastAsiaTheme="minorEastAsia" w:hAnsiTheme="minorHAnsi" w:cstheme="minorHAnsi"/>
                <w:b/>
                <w:noProof/>
                <w:lang w:eastAsia="en-GB"/>
              </w:rPr>
              <w:tab/>
            </w:r>
            <w:r w:rsidRPr="00952E4E">
              <w:rPr>
                <w:rStyle w:val="Hyperlink"/>
                <w:rFonts w:asciiTheme="minorHAnsi" w:hAnsiTheme="minorHAnsi" w:cstheme="minorHAnsi"/>
                <w:b/>
                <w:noProof/>
                <w:lang w:eastAsia="en-GB"/>
              </w:rPr>
              <w:t>S15 Shifnal Place Plan area</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_Toc65242949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57</w:t>
            </w:r>
            <w:r w:rsidRPr="00952E4E">
              <w:rPr>
                <w:rFonts w:asciiTheme="minorHAnsi" w:hAnsiTheme="minorHAnsi" w:cstheme="minorHAnsi"/>
                <w:b/>
                <w:noProof/>
                <w:webHidden/>
              </w:rPr>
              <w:fldChar w:fldCharType="end"/>
            </w:r>
          </w:hyperlink>
        </w:p>
        <w:p w:rsidR="00952E4E" w:rsidRPr="00952E4E" w:rsidRDefault="00952E4E" w:rsidP="00952E4E">
          <w:pPr>
            <w:pStyle w:val="TOC2"/>
            <w:spacing w:after="80"/>
            <w:rPr>
              <w:rFonts w:eastAsiaTheme="minorEastAsia"/>
              <w:i w:val="0"/>
            </w:rPr>
          </w:pPr>
          <w:hyperlink w:anchor="_Toc65242950" w:history="1">
            <w:r w:rsidRPr="00952E4E">
              <w:rPr>
                <w:rStyle w:val="Hyperlink"/>
                <w:rFonts w:eastAsiaTheme="minorHAnsi"/>
                <w:i w:val="0"/>
              </w:rPr>
              <w:t>Details</w:t>
            </w:r>
            <w:r w:rsidRPr="00952E4E">
              <w:rPr>
                <w:i w:val="0"/>
                <w:webHidden/>
              </w:rPr>
              <w:tab/>
            </w:r>
            <w:r w:rsidRPr="00952E4E">
              <w:rPr>
                <w:i w:val="0"/>
                <w:webHidden/>
              </w:rPr>
              <w:fldChar w:fldCharType="begin"/>
            </w:r>
            <w:r w:rsidRPr="00952E4E">
              <w:rPr>
                <w:i w:val="0"/>
                <w:webHidden/>
              </w:rPr>
              <w:instrText xml:space="preserve"> PAGEREF _Toc65242950 \h </w:instrText>
            </w:r>
            <w:r w:rsidRPr="00952E4E">
              <w:rPr>
                <w:i w:val="0"/>
                <w:webHidden/>
              </w:rPr>
            </w:r>
            <w:r w:rsidRPr="00952E4E">
              <w:rPr>
                <w:i w:val="0"/>
                <w:webHidden/>
              </w:rPr>
              <w:fldChar w:fldCharType="separate"/>
            </w:r>
            <w:r w:rsidR="00275A50">
              <w:rPr>
                <w:i w:val="0"/>
                <w:webHidden/>
              </w:rPr>
              <w:t>57</w:t>
            </w:r>
            <w:r w:rsidRPr="00952E4E">
              <w:rPr>
                <w:i w:val="0"/>
                <w:webHidden/>
              </w:rPr>
              <w:fldChar w:fldCharType="end"/>
            </w:r>
          </w:hyperlink>
        </w:p>
        <w:p w:rsidR="00952E4E" w:rsidRPr="00952E4E" w:rsidRDefault="00952E4E" w:rsidP="00952E4E">
          <w:pPr>
            <w:pStyle w:val="TOC2"/>
            <w:spacing w:after="80"/>
            <w:rPr>
              <w:rFonts w:eastAsiaTheme="minorEastAsia"/>
              <w:i w:val="0"/>
            </w:rPr>
          </w:pPr>
          <w:hyperlink w:anchor="_Toc65242951" w:history="1">
            <w:r w:rsidRPr="00952E4E">
              <w:rPr>
                <w:rStyle w:val="Hyperlink"/>
                <w:rFonts w:eastAsiaTheme="minorHAnsi"/>
                <w:i w:val="0"/>
              </w:rPr>
              <w:t>Modification(s) considered necessary</w:t>
            </w:r>
            <w:r w:rsidRPr="00952E4E">
              <w:rPr>
                <w:i w:val="0"/>
                <w:webHidden/>
              </w:rPr>
              <w:tab/>
            </w:r>
            <w:r w:rsidRPr="00952E4E">
              <w:rPr>
                <w:i w:val="0"/>
                <w:webHidden/>
              </w:rPr>
              <w:fldChar w:fldCharType="begin"/>
            </w:r>
            <w:r w:rsidRPr="00952E4E">
              <w:rPr>
                <w:i w:val="0"/>
                <w:webHidden/>
              </w:rPr>
              <w:instrText xml:space="preserve"> PAGEREF _Toc65242951 \h </w:instrText>
            </w:r>
            <w:r w:rsidRPr="00952E4E">
              <w:rPr>
                <w:i w:val="0"/>
                <w:webHidden/>
              </w:rPr>
            </w:r>
            <w:r w:rsidRPr="00952E4E">
              <w:rPr>
                <w:i w:val="0"/>
                <w:webHidden/>
              </w:rPr>
              <w:fldChar w:fldCharType="separate"/>
            </w:r>
            <w:r w:rsidR="00275A50">
              <w:rPr>
                <w:i w:val="0"/>
                <w:webHidden/>
              </w:rPr>
              <w:t>58</w:t>
            </w:r>
            <w:r w:rsidRPr="00952E4E">
              <w:rPr>
                <w:i w:val="0"/>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52" w:history="1">
            <w:r w:rsidRPr="00952E4E">
              <w:rPr>
                <w:rStyle w:val="Hyperlink"/>
                <w:rFonts w:asciiTheme="minorHAnsi" w:hAnsiTheme="minorHAnsi" w:cstheme="minorHAnsi"/>
                <w:b/>
                <w:noProof/>
              </w:rPr>
              <w:t>Appendix 1 : Consultation response to Draft Statement of Community Involvement</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_Toc65242952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59</w:t>
            </w:r>
            <w:r w:rsidRPr="00952E4E">
              <w:rPr>
                <w:rFonts w:asciiTheme="minorHAnsi" w:hAnsiTheme="minorHAnsi" w:cstheme="minorHAnsi"/>
                <w:b/>
                <w:noProof/>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53" w:history="1">
            <w:r w:rsidRPr="00952E4E">
              <w:rPr>
                <w:rStyle w:val="Hyperlink"/>
                <w:rFonts w:asciiTheme="minorHAnsi" w:hAnsiTheme="minorHAnsi" w:cstheme="minorHAnsi"/>
                <w:b/>
                <w:noProof/>
              </w:rPr>
              <w:t>Appendix 2 : Consultation Response Analyses</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_Toc65242953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72</w:t>
            </w:r>
            <w:r w:rsidRPr="00952E4E">
              <w:rPr>
                <w:rFonts w:asciiTheme="minorHAnsi" w:hAnsiTheme="minorHAnsi" w:cstheme="minorHAnsi"/>
                <w:b/>
                <w:noProof/>
                <w:webHidden/>
              </w:rPr>
              <w:fldChar w:fldCharType="end"/>
            </w:r>
          </w:hyperlink>
        </w:p>
        <w:p w:rsidR="00952E4E" w:rsidRPr="00952E4E" w:rsidRDefault="00952E4E" w:rsidP="00952E4E">
          <w:pPr>
            <w:pStyle w:val="TOC1"/>
            <w:spacing w:after="80"/>
            <w:rPr>
              <w:rFonts w:asciiTheme="minorHAnsi" w:eastAsiaTheme="minorEastAsia" w:hAnsiTheme="minorHAnsi" w:cstheme="minorHAnsi"/>
              <w:b/>
              <w:noProof/>
              <w:lang w:eastAsia="en-GB"/>
            </w:rPr>
          </w:pPr>
          <w:hyperlink w:anchor="_Toc65242954" w:history="1">
            <w:r w:rsidRPr="00952E4E">
              <w:rPr>
                <w:rStyle w:val="Hyperlink"/>
                <w:rFonts w:asciiTheme="minorHAnsi" w:hAnsiTheme="minorHAnsi" w:cstheme="minorHAnsi"/>
                <w:b/>
                <w:noProof/>
              </w:rPr>
              <w:t>Appendix 3 : Catalogue of Evidence Base</w:t>
            </w:r>
            <w:r w:rsidRPr="00952E4E">
              <w:rPr>
                <w:rFonts w:asciiTheme="minorHAnsi" w:hAnsiTheme="minorHAnsi" w:cstheme="minorHAnsi"/>
                <w:b/>
                <w:noProof/>
                <w:webHidden/>
              </w:rPr>
              <w:tab/>
            </w:r>
            <w:r w:rsidRPr="00952E4E">
              <w:rPr>
                <w:rFonts w:asciiTheme="minorHAnsi" w:hAnsiTheme="minorHAnsi" w:cstheme="minorHAnsi"/>
                <w:b/>
                <w:noProof/>
                <w:webHidden/>
              </w:rPr>
              <w:fldChar w:fldCharType="begin"/>
            </w:r>
            <w:r w:rsidRPr="00952E4E">
              <w:rPr>
                <w:rFonts w:asciiTheme="minorHAnsi" w:hAnsiTheme="minorHAnsi" w:cstheme="minorHAnsi"/>
                <w:b/>
                <w:noProof/>
                <w:webHidden/>
              </w:rPr>
              <w:instrText xml:space="preserve"> PAGEREF _Toc65242954 \h </w:instrText>
            </w:r>
            <w:r w:rsidRPr="00952E4E">
              <w:rPr>
                <w:rFonts w:asciiTheme="minorHAnsi" w:hAnsiTheme="minorHAnsi" w:cstheme="minorHAnsi"/>
                <w:b/>
                <w:noProof/>
                <w:webHidden/>
              </w:rPr>
            </w:r>
            <w:r w:rsidRPr="00952E4E">
              <w:rPr>
                <w:rFonts w:asciiTheme="minorHAnsi" w:hAnsiTheme="minorHAnsi" w:cstheme="minorHAnsi"/>
                <w:b/>
                <w:noProof/>
                <w:webHidden/>
              </w:rPr>
              <w:fldChar w:fldCharType="separate"/>
            </w:r>
            <w:r w:rsidR="00275A50">
              <w:rPr>
                <w:rFonts w:asciiTheme="minorHAnsi" w:hAnsiTheme="minorHAnsi" w:cstheme="minorHAnsi"/>
                <w:b/>
                <w:noProof/>
                <w:webHidden/>
              </w:rPr>
              <w:t>92</w:t>
            </w:r>
            <w:r w:rsidRPr="00952E4E">
              <w:rPr>
                <w:rFonts w:asciiTheme="minorHAnsi" w:hAnsiTheme="minorHAnsi" w:cstheme="minorHAnsi"/>
                <w:b/>
                <w:noProof/>
                <w:webHidden/>
              </w:rPr>
              <w:fldChar w:fldCharType="end"/>
            </w:r>
          </w:hyperlink>
        </w:p>
        <w:p w:rsidR="003C344A" w:rsidRPr="00952E4E" w:rsidRDefault="003C344A" w:rsidP="00952E4E">
          <w:pPr>
            <w:spacing w:before="60" w:after="80"/>
            <w:ind w:left="567" w:hanging="567"/>
            <w:rPr>
              <w:rFonts w:asciiTheme="minorHAnsi" w:hAnsiTheme="minorHAnsi" w:cstheme="minorHAnsi"/>
              <w:b/>
              <w:bCs/>
              <w:noProof/>
            </w:rPr>
          </w:pPr>
          <w:r w:rsidRPr="00952E4E">
            <w:rPr>
              <w:rFonts w:asciiTheme="minorHAnsi" w:hAnsiTheme="minorHAnsi" w:cstheme="minorHAnsi"/>
              <w:b/>
              <w:bCs/>
              <w:noProof/>
            </w:rPr>
            <w:fldChar w:fldCharType="end"/>
          </w:r>
        </w:p>
      </w:sdtContent>
    </w:sdt>
    <w:p w:rsidR="0067694B" w:rsidRPr="0048269B" w:rsidRDefault="0067694B" w:rsidP="0067694B">
      <w:pPr>
        <w:autoSpaceDE w:val="0"/>
        <w:autoSpaceDN w:val="0"/>
        <w:adjustRightInd w:val="0"/>
        <w:spacing w:before="100" w:beforeAutospacing="1" w:after="100" w:afterAutospacing="1"/>
        <w:jc w:val="center"/>
        <w:rPr>
          <w:rFonts w:asciiTheme="minorHAnsi" w:hAnsiTheme="minorHAnsi" w:cstheme="minorHAnsi"/>
          <w:sz w:val="36"/>
          <w:szCs w:val="36"/>
          <w:lang w:eastAsia="en-GB"/>
        </w:rPr>
      </w:pPr>
    </w:p>
    <w:p w:rsidR="00454DC4" w:rsidRPr="0067694B" w:rsidRDefault="00454DC4" w:rsidP="00454DC4">
      <w:pPr>
        <w:autoSpaceDE w:val="0"/>
        <w:autoSpaceDN w:val="0"/>
        <w:adjustRightInd w:val="0"/>
        <w:spacing w:before="100" w:beforeAutospacing="1" w:after="100" w:afterAutospacing="1"/>
        <w:rPr>
          <w:rFonts w:ascii="Trebuchet MS" w:hAnsi="Trebuchet MS" w:cs="Verdana"/>
          <w:sz w:val="36"/>
          <w:szCs w:val="36"/>
          <w:lang w:eastAsia="en-GB"/>
        </w:rPr>
        <w:sectPr w:rsidR="00454DC4" w:rsidRPr="0067694B" w:rsidSect="00FA10D9">
          <w:headerReference w:type="default" r:id="rId9"/>
          <w:footerReference w:type="default" r:id="rId10"/>
          <w:footerReference w:type="first" r:id="rId11"/>
          <w:pgSz w:w="11906" w:h="16838"/>
          <w:pgMar w:top="1440" w:right="1440" w:bottom="1440" w:left="1440" w:header="283" w:footer="708" w:gutter="0"/>
          <w:cols w:space="708"/>
          <w:docGrid w:linePitch="360"/>
        </w:sectPr>
      </w:pPr>
    </w:p>
    <w:p w:rsidR="00112565" w:rsidRPr="00862910" w:rsidRDefault="00D05C0D" w:rsidP="001251D0">
      <w:pPr>
        <w:pStyle w:val="ListParagraph"/>
        <w:numPr>
          <w:ilvl w:val="0"/>
          <w:numId w:val="1"/>
        </w:numPr>
        <w:autoSpaceDE w:val="0"/>
        <w:autoSpaceDN w:val="0"/>
        <w:adjustRightInd w:val="0"/>
        <w:ind w:left="0" w:right="-45" w:hanging="567"/>
        <w:contextualSpacing w:val="0"/>
        <w:outlineLvl w:val="0"/>
        <w:rPr>
          <w:rFonts w:asciiTheme="minorHAnsi" w:hAnsiTheme="minorHAnsi" w:cstheme="minorHAnsi"/>
          <w:b/>
          <w:color w:val="0070C0"/>
          <w:sz w:val="36"/>
          <w:szCs w:val="36"/>
          <w:lang w:eastAsia="en-GB"/>
        </w:rPr>
      </w:pPr>
      <w:bookmarkStart w:id="0" w:name="_Toc65242887"/>
      <w:r>
        <w:rPr>
          <w:rFonts w:asciiTheme="minorHAnsi" w:hAnsiTheme="minorHAnsi" w:cstheme="minorHAnsi"/>
          <w:b/>
          <w:color w:val="0070C0"/>
          <w:sz w:val="36"/>
          <w:szCs w:val="36"/>
          <w:lang w:eastAsia="en-GB"/>
        </w:rPr>
        <w:lastRenderedPageBreak/>
        <w:t>Introduction</w:t>
      </w:r>
      <w:bookmarkEnd w:id="0"/>
    </w:p>
    <w:p w:rsidR="00FD5E24" w:rsidRDefault="00FD5E24" w:rsidP="00FD5E24">
      <w:pPr>
        <w:pStyle w:val="ListParagraph"/>
        <w:numPr>
          <w:ilvl w:val="1"/>
          <w:numId w:val="1"/>
        </w:numPr>
        <w:spacing w:before="12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This response addresses multiple issues and rather tha</w:t>
      </w:r>
      <w:r w:rsidR="00B04729">
        <w:rPr>
          <w:rFonts w:asciiTheme="minorHAnsi" w:hAnsiTheme="minorHAnsi" w:cstheme="minorHAnsi"/>
          <w:lang w:eastAsia="en-GB"/>
        </w:rPr>
        <w:t>n submit multiple separate Part</w:t>
      </w:r>
      <w:r>
        <w:rPr>
          <w:rFonts w:asciiTheme="minorHAnsi" w:hAnsiTheme="minorHAnsi" w:cstheme="minorHAnsi"/>
          <w:lang w:eastAsia="en-GB"/>
        </w:rPr>
        <w:t xml:space="preserve"> B</w:t>
      </w:r>
      <w:r w:rsidR="00B04729">
        <w:rPr>
          <w:rFonts w:asciiTheme="minorHAnsi" w:hAnsiTheme="minorHAnsi" w:cstheme="minorHAnsi"/>
          <w:lang w:eastAsia="en-GB"/>
        </w:rPr>
        <w:t xml:space="preserve"> response forms</w:t>
      </w:r>
      <w:r>
        <w:rPr>
          <w:rFonts w:asciiTheme="minorHAnsi" w:hAnsiTheme="minorHAnsi" w:cstheme="minorHAnsi"/>
          <w:lang w:eastAsia="en-GB"/>
        </w:rPr>
        <w:t xml:space="preserve">, we reproduce in our text below replicas of the relevant parts of </w:t>
      </w:r>
      <w:r w:rsidR="00B04729">
        <w:rPr>
          <w:rFonts w:asciiTheme="minorHAnsi" w:hAnsiTheme="minorHAnsi" w:cstheme="minorHAnsi"/>
          <w:lang w:eastAsia="en-GB"/>
        </w:rPr>
        <w:t>the form</w:t>
      </w:r>
      <w:r>
        <w:rPr>
          <w:rFonts w:asciiTheme="minorHAnsi" w:hAnsiTheme="minorHAnsi" w:cstheme="minorHAnsi"/>
          <w:lang w:eastAsia="en-GB"/>
        </w:rPr>
        <w:t xml:space="preserve"> for each such</w:t>
      </w:r>
      <w:r w:rsidR="009E0C85">
        <w:rPr>
          <w:rFonts w:asciiTheme="minorHAnsi" w:hAnsiTheme="minorHAnsi" w:cstheme="minorHAnsi"/>
          <w:lang w:eastAsia="en-GB"/>
        </w:rPr>
        <w:t xml:space="preserve"> instance, in the form as below.  We have included only the pertinent boxes in each case.</w:t>
      </w:r>
    </w:p>
    <w:p w:rsidR="00FD0A1C" w:rsidRPr="00FE2663" w:rsidRDefault="00FD0A1C" w:rsidP="001251D0">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FD0A1C" w:rsidRPr="00FE2663" w:rsidRDefault="00FD0A1C" w:rsidP="00FD0A1C">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FD0A1C" w:rsidRPr="00A17498" w:rsidTr="001D3202">
        <w:trPr>
          <w:trHeight w:val="283"/>
        </w:trPr>
        <w:tc>
          <w:tcPr>
            <w:tcW w:w="567" w:type="dxa"/>
            <w:tcBorders>
              <w:right w:val="single" w:sz="4" w:space="0" w:color="auto"/>
            </w:tcBorders>
            <w:vAlign w:val="center"/>
          </w:tcPr>
          <w:p w:rsidR="00FD0A1C" w:rsidRPr="00A17498" w:rsidRDefault="00FD0A1C" w:rsidP="001D3202">
            <w:pPr>
              <w:pStyle w:val="ListParagraph"/>
              <w:spacing w:after="0"/>
              <w:contextualSpacing w:val="0"/>
              <w:rPr>
                <w:rFonts w:asciiTheme="minorHAnsi" w:hAnsiTheme="minorHAnsi" w:cstheme="minorHAnsi"/>
                <w:b/>
              </w:rPr>
            </w:pPr>
          </w:p>
        </w:tc>
        <w:tc>
          <w:tcPr>
            <w:tcW w:w="9214" w:type="dxa"/>
            <w:tcBorders>
              <w:top w:val="nil"/>
              <w:left w:val="single" w:sz="4" w:space="0" w:color="auto"/>
              <w:bottom w:val="nil"/>
              <w:right w:val="nil"/>
            </w:tcBorders>
            <w:vAlign w:val="center"/>
          </w:tcPr>
          <w:p w:rsidR="00FD0A1C" w:rsidRPr="001251D0" w:rsidRDefault="00FD0A1C" w:rsidP="001D3202">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r w:rsidR="00FD0A1C" w:rsidRPr="00A17498" w:rsidTr="001D3202">
        <w:trPr>
          <w:trHeight w:val="283"/>
        </w:trPr>
        <w:tc>
          <w:tcPr>
            <w:tcW w:w="567" w:type="dxa"/>
            <w:tcBorders>
              <w:right w:val="single" w:sz="4" w:space="0" w:color="auto"/>
            </w:tcBorders>
            <w:vAlign w:val="center"/>
          </w:tcPr>
          <w:p w:rsidR="00FD0A1C" w:rsidRPr="00A17498" w:rsidRDefault="00FD0A1C" w:rsidP="001D3202">
            <w:pPr>
              <w:pStyle w:val="ListParagraph"/>
              <w:spacing w:after="0"/>
              <w:contextualSpacing w:val="0"/>
              <w:rPr>
                <w:rFonts w:asciiTheme="minorHAnsi" w:hAnsiTheme="minorHAnsi" w:cstheme="minorHAnsi"/>
                <w:b/>
              </w:rPr>
            </w:pPr>
          </w:p>
        </w:tc>
        <w:tc>
          <w:tcPr>
            <w:tcW w:w="9214" w:type="dxa"/>
            <w:tcBorders>
              <w:top w:val="nil"/>
              <w:left w:val="single" w:sz="4" w:space="0" w:color="auto"/>
              <w:bottom w:val="nil"/>
              <w:right w:val="nil"/>
            </w:tcBorders>
            <w:vAlign w:val="center"/>
          </w:tcPr>
          <w:p w:rsidR="00FD0A1C" w:rsidRPr="001251D0" w:rsidRDefault="00FD0A1C" w:rsidP="001D3202">
            <w:pPr>
              <w:pStyle w:val="ListParagraph"/>
              <w:spacing w:after="0"/>
              <w:contextualSpacing w:val="0"/>
              <w:rPr>
                <w:rFonts w:asciiTheme="minorHAnsi" w:hAnsiTheme="minorHAnsi" w:cstheme="minorHAnsi"/>
                <w:sz w:val="16"/>
                <w:szCs w:val="16"/>
              </w:rPr>
            </w:pPr>
            <w:r w:rsidRPr="001251D0">
              <w:rPr>
                <w:rFonts w:ascii="Verdana" w:hAnsi="Verdana" w:cs="Verdana"/>
                <w:color w:val="000000"/>
                <w:sz w:val="16"/>
                <w:szCs w:val="16"/>
              </w:rPr>
              <w:t>Sustainability Appraisal of the Regulation 19: Pre-Submission Draft of the Shropshire Local Plan</w:t>
            </w:r>
          </w:p>
        </w:tc>
      </w:tr>
      <w:tr w:rsidR="00FD0A1C" w:rsidRPr="00A17498" w:rsidTr="001D3202">
        <w:trPr>
          <w:trHeight w:val="283"/>
        </w:trPr>
        <w:tc>
          <w:tcPr>
            <w:tcW w:w="567" w:type="dxa"/>
            <w:tcBorders>
              <w:right w:val="single" w:sz="4" w:space="0" w:color="auto"/>
            </w:tcBorders>
            <w:vAlign w:val="center"/>
          </w:tcPr>
          <w:p w:rsidR="00FD0A1C" w:rsidRPr="00A17498" w:rsidRDefault="00FD0A1C" w:rsidP="001D3202">
            <w:pPr>
              <w:pStyle w:val="ListParagraph"/>
              <w:spacing w:after="0"/>
              <w:contextualSpacing w:val="0"/>
              <w:rPr>
                <w:rFonts w:asciiTheme="minorHAnsi" w:hAnsiTheme="minorHAnsi" w:cstheme="minorHAnsi"/>
                <w:b/>
              </w:rPr>
            </w:pPr>
          </w:p>
        </w:tc>
        <w:tc>
          <w:tcPr>
            <w:tcW w:w="9214" w:type="dxa"/>
            <w:tcBorders>
              <w:top w:val="nil"/>
              <w:left w:val="single" w:sz="4" w:space="0" w:color="auto"/>
              <w:bottom w:val="nil"/>
              <w:right w:val="nil"/>
            </w:tcBorders>
            <w:vAlign w:val="center"/>
          </w:tcPr>
          <w:p w:rsidR="00FD0A1C" w:rsidRPr="001251D0" w:rsidRDefault="00FD0A1C" w:rsidP="001D3202">
            <w:pPr>
              <w:rPr>
                <w:rFonts w:asciiTheme="minorHAnsi" w:hAnsiTheme="minorHAnsi" w:cstheme="minorHAnsi"/>
                <w:sz w:val="16"/>
                <w:szCs w:val="16"/>
              </w:rPr>
            </w:pPr>
            <w:r w:rsidRPr="001251D0">
              <w:rPr>
                <w:rFonts w:ascii="Verdana" w:eastAsiaTheme="minorHAnsi" w:hAnsi="Verdana" w:cs="Verdana"/>
                <w:color w:val="000000"/>
                <w:sz w:val="16"/>
                <w:szCs w:val="16"/>
              </w:rPr>
              <w:t>Habitats Regulations Assessment of the Regulation 19: Pre-Submission Draft of the Shropshire Local Plan</w:t>
            </w:r>
          </w:p>
        </w:tc>
      </w:tr>
    </w:tbl>
    <w:p w:rsidR="00FD0A1C" w:rsidRPr="00A17498" w:rsidRDefault="00FD0A1C" w:rsidP="00FD0A1C">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FD0A1C" w:rsidRPr="00A17498" w:rsidTr="001D3202">
        <w:trPr>
          <w:trHeight w:val="283"/>
        </w:trPr>
        <w:tc>
          <w:tcPr>
            <w:tcW w:w="1134" w:type="dxa"/>
            <w:tcBorders>
              <w:top w:val="nil"/>
              <w:left w:val="nil"/>
              <w:bottom w:val="nil"/>
              <w:right w:val="single" w:sz="4" w:space="0" w:color="auto"/>
            </w:tcBorders>
            <w:vAlign w:val="center"/>
          </w:tcPr>
          <w:p w:rsidR="00FD0A1C" w:rsidRPr="00A17498" w:rsidRDefault="00FD0A1C" w:rsidP="001D3202">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FD0A1C" w:rsidRPr="00A17498" w:rsidRDefault="00FD0A1C" w:rsidP="001D3202">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FD0A1C" w:rsidRPr="00A17498" w:rsidRDefault="00FD0A1C" w:rsidP="001D3202">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FD0A1C" w:rsidRPr="00A17498" w:rsidRDefault="00FD0A1C" w:rsidP="001D3202">
            <w:pPr>
              <w:pStyle w:val="BodyText"/>
              <w:spacing w:after="0"/>
              <w:rPr>
                <w:rFonts w:asciiTheme="minorHAnsi" w:hAnsiTheme="minorHAnsi" w:cstheme="minorHAnsi"/>
              </w:rPr>
            </w:pPr>
          </w:p>
        </w:tc>
      </w:tr>
      <w:tr w:rsidR="00FD0A1C" w:rsidRPr="00A17498" w:rsidTr="001D3202">
        <w:trPr>
          <w:trHeight w:val="283"/>
        </w:trPr>
        <w:tc>
          <w:tcPr>
            <w:tcW w:w="1134" w:type="dxa"/>
            <w:tcBorders>
              <w:top w:val="nil"/>
              <w:left w:val="nil"/>
              <w:bottom w:val="nil"/>
              <w:right w:val="single" w:sz="4" w:space="0" w:color="auto"/>
            </w:tcBorders>
            <w:vAlign w:val="center"/>
          </w:tcPr>
          <w:p w:rsidR="00FD0A1C" w:rsidRPr="00A17498" w:rsidRDefault="00FD0A1C" w:rsidP="001D3202">
            <w:pPr>
              <w:pStyle w:val="BodyText"/>
              <w:spacing w:after="0"/>
              <w:rPr>
                <w:rFonts w:asciiTheme="minorHAnsi" w:hAnsiTheme="minorHAnsi" w:cstheme="minorHAnsi"/>
              </w:rPr>
            </w:pPr>
            <w:r w:rsidRPr="00A17498">
              <w:rPr>
                <w:rFonts w:asciiTheme="minorHAnsi" w:hAnsiTheme="minorHAnsi" w:cstheme="minorHAnsi"/>
              </w:rPr>
              <w:t>Site</w:t>
            </w:r>
          </w:p>
        </w:tc>
        <w:tc>
          <w:tcPr>
            <w:tcW w:w="2410" w:type="dxa"/>
            <w:tcBorders>
              <w:left w:val="single" w:sz="4" w:space="0" w:color="auto"/>
              <w:right w:val="single" w:sz="4" w:space="0" w:color="auto"/>
            </w:tcBorders>
            <w:vAlign w:val="center"/>
          </w:tcPr>
          <w:p w:rsidR="00FD0A1C" w:rsidRPr="00A17498" w:rsidRDefault="00FD0A1C" w:rsidP="001D3202">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FD0A1C" w:rsidRPr="00A17498" w:rsidRDefault="00FD0A1C" w:rsidP="001D3202">
            <w:pPr>
              <w:pStyle w:val="BodyText"/>
              <w:spacing w:after="0"/>
              <w:rPr>
                <w:rFonts w:asciiTheme="minorHAnsi" w:hAnsiTheme="minorHAnsi" w:cstheme="minorHAnsi"/>
              </w:rPr>
            </w:pPr>
            <w:r w:rsidRPr="00A17498">
              <w:rPr>
                <w:rFonts w:asciiTheme="minorHAnsi" w:hAnsiTheme="minorHAnsi" w:cstheme="minorHAnsi"/>
              </w:rPr>
              <w:t>Policy map</w:t>
            </w:r>
          </w:p>
        </w:tc>
        <w:tc>
          <w:tcPr>
            <w:tcW w:w="4961" w:type="dxa"/>
            <w:tcBorders>
              <w:left w:val="single" w:sz="4" w:space="0" w:color="auto"/>
            </w:tcBorders>
            <w:vAlign w:val="center"/>
          </w:tcPr>
          <w:p w:rsidR="00FD0A1C" w:rsidRPr="00A17498" w:rsidRDefault="00FD0A1C" w:rsidP="001D3202">
            <w:pPr>
              <w:pStyle w:val="BodyText"/>
              <w:spacing w:after="0"/>
              <w:rPr>
                <w:rFonts w:asciiTheme="minorHAnsi" w:hAnsiTheme="minorHAnsi" w:cstheme="minorHAnsi"/>
              </w:rPr>
            </w:pPr>
          </w:p>
        </w:tc>
      </w:tr>
    </w:tbl>
    <w:p w:rsidR="00FD0A1C" w:rsidRPr="00A17498" w:rsidRDefault="00FD0A1C" w:rsidP="00FD0A1C">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FD0A1C" w:rsidTr="001251D0">
        <w:trPr>
          <w:trHeight w:val="283"/>
        </w:trPr>
        <w:tc>
          <w:tcPr>
            <w:tcW w:w="4820" w:type="dxa"/>
            <w:tcBorders>
              <w:top w:val="nil"/>
              <w:left w:val="nil"/>
              <w:bottom w:val="nil"/>
              <w:right w:val="nil"/>
            </w:tcBorders>
            <w:vAlign w:val="center"/>
          </w:tcPr>
          <w:p w:rsidR="00FD0A1C" w:rsidRPr="00882F68" w:rsidRDefault="00FD0A1C" w:rsidP="001251D0">
            <w:pPr>
              <w:rPr>
                <w:rFonts w:ascii="Verdana" w:eastAsiaTheme="minorHAnsi" w:hAnsi="Verdana" w:cs="Verdana"/>
                <w:color w:val="000000"/>
                <w:sz w:val="20"/>
                <w:szCs w:val="20"/>
              </w:rPr>
            </w:pPr>
            <w:r w:rsidRPr="00882F68">
              <w:rPr>
                <w:rFonts w:ascii="Verdana" w:eastAsiaTheme="minorHAnsi" w:hAnsi="Verdana" w:cs="Verdana"/>
                <w:color w:val="000000"/>
                <w:sz w:val="20"/>
                <w:szCs w:val="20"/>
              </w:rPr>
              <w:t>A. Legally compliant</w:t>
            </w:r>
          </w:p>
        </w:tc>
        <w:tc>
          <w:tcPr>
            <w:tcW w:w="1275" w:type="dxa"/>
            <w:tcBorders>
              <w:top w:val="nil"/>
              <w:left w:val="nil"/>
              <w:bottom w:val="nil"/>
              <w:right w:val="single" w:sz="4" w:space="0" w:color="auto"/>
            </w:tcBorders>
            <w:vAlign w:val="center"/>
          </w:tcPr>
          <w:p w:rsidR="00FD0A1C" w:rsidRDefault="00FD0A1C" w:rsidP="001251D0">
            <w:pPr>
              <w:pStyle w:val="TableParagraph"/>
              <w:rPr>
                <w:sz w:val="20"/>
              </w:rPr>
            </w:pPr>
            <w:r>
              <w:rPr>
                <w:sz w:val="20"/>
              </w:rPr>
              <w:t>Yes:</w:t>
            </w:r>
          </w:p>
        </w:tc>
        <w:tc>
          <w:tcPr>
            <w:tcW w:w="567" w:type="dxa"/>
            <w:tcBorders>
              <w:left w:val="single" w:sz="4" w:space="0" w:color="auto"/>
              <w:right w:val="single" w:sz="4" w:space="0" w:color="auto"/>
            </w:tcBorders>
            <w:vAlign w:val="center"/>
          </w:tcPr>
          <w:p w:rsidR="00FD0A1C" w:rsidRPr="00A17498" w:rsidRDefault="00FD0A1C" w:rsidP="001251D0">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FD0A1C" w:rsidRDefault="00FD0A1C" w:rsidP="001251D0">
            <w:pPr>
              <w:pStyle w:val="TableParagraph"/>
              <w:rPr>
                <w:sz w:val="20"/>
              </w:rPr>
            </w:pPr>
            <w:r>
              <w:rPr>
                <w:sz w:val="20"/>
              </w:rPr>
              <w:t>No:</w:t>
            </w:r>
          </w:p>
        </w:tc>
        <w:tc>
          <w:tcPr>
            <w:tcW w:w="567" w:type="dxa"/>
            <w:tcBorders>
              <w:left w:val="single" w:sz="4" w:space="0" w:color="auto"/>
            </w:tcBorders>
            <w:vAlign w:val="center"/>
          </w:tcPr>
          <w:p w:rsidR="00FD0A1C" w:rsidRPr="00A17498" w:rsidRDefault="00FD0A1C" w:rsidP="001251D0">
            <w:pPr>
              <w:pStyle w:val="ListParagraph"/>
              <w:spacing w:after="0"/>
              <w:contextualSpacing w:val="0"/>
              <w:rPr>
                <w:rFonts w:asciiTheme="minorHAnsi" w:hAnsiTheme="minorHAnsi" w:cstheme="minorHAnsi"/>
                <w:b/>
              </w:rPr>
            </w:pPr>
          </w:p>
        </w:tc>
      </w:tr>
      <w:tr w:rsidR="00FD0A1C" w:rsidTr="001251D0">
        <w:trPr>
          <w:trHeight w:val="283"/>
        </w:trPr>
        <w:tc>
          <w:tcPr>
            <w:tcW w:w="4820" w:type="dxa"/>
            <w:tcBorders>
              <w:top w:val="nil"/>
              <w:left w:val="nil"/>
              <w:bottom w:val="nil"/>
              <w:right w:val="nil"/>
            </w:tcBorders>
            <w:vAlign w:val="center"/>
          </w:tcPr>
          <w:p w:rsidR="00FD0A1C" w:rsidRPr="00882F68" w:rsidRDefault="00FD0A1C" w:rsidP="001D3202">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FD0A1C" w:rsidRDefault="00FD0A1C" w:rsidP="001D3202">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FD0A1C" w:rsidRPr="00A17498" w:rsidRDefault="00FD0A1C" w:rsidP="001D3202">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FD0A1C" w:rsidRDefault="00FD0A1C" w:rsidP="001D3202">
            <w:pPr>
              <w:pStyle w:val="TableParagraph"/>
              <w:spacing w:before="42"/>
              <w:rPr>
                <w:sz w:val="20"/>
              </w:rPr>
            </w:pPr>
            <w:r>
              <w:rPr>
                <w:sz w:val="20"/>
              </w:rPr>
              <w:t>No:</w:t>
            </w:r>
          </w:p>
        </w:tc>
        <w:tc>
          <w:tcPr>
            <w:tcW w:w="567" w:type="dxa"/>
            <w:tcBorders>
              <w:left w:val="single" w:sz="4" w:space="0" w:color="auto"/>
            </w:tcBorders>
            <w:vAlign w:val="center"/>
          </w:tcPr>
          <w:p w:rsidR="00FD0A1C" w:rsidRPr="00A17498" w:rsidRDefault="00FD0A1C" w:rsidP="001D3202">
            <w:pPr>
              <w:pStyle w:val="ListParagraph"/>
              <w:spacing w:after="0"/>
              <w:contextualSpacing w:val="0"/>
              <w:rPr>
                <w:rFonts w:asciiTheme="minorHAnsi" w:hAnsiTheme="minorHAnsi" w:cstheme="minorHAnsi"/>
                <w:b/>
              </w:rPr>
            </w:pPr>
          </w:p>
        </w:tc>
      </w:tr>
      <w:tr w:rsidR="00FD0A1C" w:rsidTr="001251D0">
        <w:trPr>
          <w:trHeight w:val="283"/>
        </w:trPr>
        <w:tc>
          <w:tcPr>
            <w:tcW w:w="4820" w:type="dxa"/>
            <w:tcBorders>
              <w:top w:val="nil"/>
              <w:left w:val="nil"/>
              <w:bottom w:val="nil"/>
              <w:right w:val="nil"/>
            </w:tcBorders>
            <w:vAlign w:val="center"/>
          </w:tcPr>
          <w:p w:rsidR="00FD0A1C" w:rsidRPr="00882F68" w:rsidRDefault="00FD0A1C" w:rsidP="001D3202">
            <w:pPr>
              <w:autoSpaceDE w:val="0"/>
              <w:autoSpaceDN w:val="0"/>
              <w:adjustRightInd w:val="0"/>
              <w:rPr>
                <w:rFonts w:ascii="Verdana" w:eastAsiaTheme="minorHAnsi" w:hAnsi="Verdana" w:cs="Verdana"/>
                <w:color w:val="000000"/>
                <w:sz w:val="20"/>
                <w:szCs w:val="20"/>
              </w:rPr>
            </w:pPr>
            <w:r w:rsidRPr="00882F68">
              <w:rPr>
                <w:rFonts w:ascii="Verdana" w:eastAsiaTheme="minorHAnsi" w:hAnsi="Verdana" w:cs="Verdana"/>
                <w:color w:val="000000"/>
                <w:sz w:val="20"/>
                <w:szCs w:val="20"/>
              </w:rPr>
              <w:t xml:space="preserve">C. Compliant with the Duty to Co-operate </w:t>
            </w:r>
          </w:p>
        </w:tc>
        <w:tc>
          <w:tcPr>
            <w:tcW w:w="1275" w:type="dxa"/>
            <w:tcBorders>
              <w:top w:val="nil"/>
              <w:left w:val="nil"/>
              <w:bottom w:val="nil"/>
              <w:right w:val="single" w:sz="4" w:space="0" w:color="auto"/>
            </w:tcBorders>
            <w:vAlign w:val="center"/>
          </w:tcPr>
          <w:p w:rsidR="00FD0A1C" w:rsidRDefault="00FD0A1C" w:rsidP="001D3202">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FD0A1C" w:rsidRPr="00A17498" w:rsidRDefault="00FD0A1C" w:rsidP="001D3202">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FD0A1C" w:rsidRDefault="00FD0A1C" w:rsidP="001D3202">
            <w:pPr>
              <w:pStyle w:val="TableParagraph"/>
              <w:spacing w:before="42"/>
              <w:rPr>
                <w:sz w:val="20"/>
              </w:rPr>
            </w:pPr>
            <w:r>
              <w:rPr>
                <w:sz w:val="20"/>
              </w:rPr>
              <w:t>No</w:t>
            </w:r>
          </w:p>
        </w:tc>
        <w:tc>
          <w:tcPr>
            <w:tcW w:w="567" w:type="dxa"/>
            <w:tcBorders>
              <w:left w:val="single" w:sz="4" w:space="0" w:color="auto"/>
            </w:tcBorders>
            <w:vAlign w:val="center"/>
          </w:tcPr>
          <w:p w:rsidR="00FD0A1C" w:rsidRPr="00A17498" w:rsidRDefault="00FD0A1C" w:rsidP="001D3202">
            <w:pPr>
              <w:pStyle w:val="ListParagraph"/>
              <w:spacing w:after="0"/>
              <w:contextualSpacing w:val="0"/>
              <w:rPr>
                <w:rFonts w:asciiTheme="minorHAnsi" w:hAnsiTheme="minorHAnsi" w:cstheme="minorHAnsi"/>
                <w:b/>
              </w:rPr>
            </w:pPr>
          </w:p>
        </w:tc>
      </w:tr>
    </w:tbl>
    <w:p w:rsidR="00FD0A1C" w:rsidRPr="00BE505F" w:rsidRDefault="00FD0A1C" w:rsidP="00897145">
      <w:pPr>
        <w:pStyle w:val="ListParagraph"/>
        <w:spacing w:after="0"/>
        <w:contextualSpacing w:val="0"/>
        <w:textAlignment w:val="baseline"/>
        <w:rPr>
          <w:rFonts w:asciiTheme="minorHAnsi" w:hAnsiTheme="minorHAnsi" w:cstheme="minorHAnsi"/>
          <w:lang w:eastAsia="en-GB"/>
        </w:rPr>
      </w:pPr>
      <w:r w:rsidRPr="00B97F14">
        <w:rPr>
          <w:rFonts w:asciiTheme="minorHAnsi" w:hAnsiTheme="minorHAnsi" w:cstheme="minorHAnsi"/>
          <w:b/>
          <w:sz w:val="22"/>
          <w:shd w:val="clear" w:color="auto" w:fill="D9E1F3"/>
        </w:rPr>
        <w:t xml:space="preserve">Q4. Please give </w:t>
      </w:r>
      <w:r w:rsidRPr="005307CB">
        <w:rPr>
          <w:rFonts w:asciiTheme="minorHAnsi" w:hAnsiTheme="minorHAnsi" w:cstheme="minorHAnsi"/>
          <w:b/>
          <w:i/>
          <w:color w:val="002060"/>
          <w:sz w:val="22"/>
          <w:shd w:val="clear" w:color="auto" w:fill="D9E1F3"/>
        </w:rPr>
        <w:t>details</w:t>
      </w:r>
      <w:r w:rsidRPr="00B97F14">
        <w:rPr>
          <w:rFonts w:asciiTheme="minorHAnsi" w:hAnsiTheme="minorHAnsi" w:cstheme="minorHAnsi"/>
          <w:b/>
          <w:sz w:val="22"/>
          <w:shd w:val="clear" w:color="auto" w:fill="D9E1F3"/>
        </w:rPr>
        <w:t xml:space="preserve"> of why you consider the Regulation 19: Pre-Submission Draft of the Shropshire Local Plan is not legally compliant or is unsound or fails to comply with the duty to co-operate. Please be as precise as possible.</w:t>
      </w:r>
      <w:r w:rsidR="00BE505F" w:rsidRPr="00BE505F">
        <w:rPr>
          <w:rFonts w:asciiTheme="minorHAnsi" w:hAnsiTheme="minorHAnsi" w:cstheme="minorHAnsi"/>
          <w:lang w:eastAsia="en-GB"/>
        </w:rPr>
        <w:t xml:space="preserve">  We deal with </w:t>
      </w:r>
      <w:r w:rsidR="00BE505F">
        <w:rPr>
          <w:rFonts w:asciiTheme="minorHAnsi" w:hAnsiTheme="minorHAnsi" w:cstheme="minorHAnsi"/>
          <w:lang w:eastAsia="en-GB"/>
        </w:rPr>
        <w:t xml:space="preserve">this under </w:t>
      </w:r>
      <w:r w:rsidR="00BE505F" w:rsidRPr="00BE505F">
        <w:rPr>
          <w:rFonts w:asciiTheme="minorHAnsi" w:hAnsiTheme="minorHAnsi" w:cstheme="minorHAnsi"/>
          <w:b/>
          <w:i/>
          <w:color w:val="0070C0"/>
          <w:szCs w:val="24"/>
          <w:lang w:eastAsia="en-GB"/>
        </w:rPr>
        <w:t>“Details”</w:t>
      </w:r>
    </w:p>
    <w:p w:rsidR="00897145" w:rsidRPr="00A83A22" w:rsidRDefault="00897145" w:rsidP="00A83A22">
      <w:pPr>
        <w:pStyle w:val="ListParagraph"/>
        <w:spacing w:after="0"/>
        <w:contextualSpacing w:val="0"/>
        <w:textAlignment w:val="baseline"/>
        <w:rPr>
          <w:rFonts w:asciiTheme="minorHAnsi" w:hAnsiTheme="minorHAnsi" w:cstheme="minorHAnsi"/>
          <w:lang w:eastAsia="en-GB"/>
        </w:rPr>
      </w:pPr>
      <w:r w:rsidRPr="00897145">
        <w:rPr>
          <w:rFonts w:asciiTheme="minorHAnsi" w:hAnsiTheme="minorHAnsi" w:cstheme="minorHAnsi"/>
          <w:b/>
          <w:sz w:val="22"/>
          <w:shd w:val="clear" w:color="auto" w:fill="D9E1F3"/>
        </w:rPr>
        <w:t xml:space="preserve">Q5. Please set out the </w:t>
      </w:r>
      <w:r w:rsidRPr="005307CB">
        <w:rPr>
          <w:rFonts w:asciiTheme="minorHAnsi" w:hAnsiTheme="minorHAnsi" w:cstheme="minorHAnsi"/>
          <w:b/>
          <w:i/>
          <w:color w:val="002060"/>
          <w:sz w:val="22"/>
          <w:shd w:val="clear" w:color="auto" w:fill="D9E1F3"/>
        </w:rPr>
        <w:t>modification(s) you consider necessary</w:t>
      </w:r>
      <w:r w:rsidRPr="00897145">
        <w:rPr>
          <w:rFonts w:asciiTheme="minorHAnsi" w:hAnsiTheme="minorHAnsi" w:cstheme="minorHAnsi"/>
          <w:b/>
          <w:sz w:val="22"/>
          <w:shd w:val="clear" w:color="auto" w:fill="D9E1F3"/>
        </w:rPr>
        <w:t xml:space="preserve"> to make the Regulation 19: Pre-Submission Draft of the Shropshire Local Plan legally compliant and sound, in respect of any legal compliance or soundness matters you have identified at Q4 above.</w:t>
      </w:r>
      <w:r w:rsidR="00BE505F" w:rsidRPr="00BE505F">
        <w:rPr>
          <w:rFonts w:asciiTheme="minorHAnsi" w:hAnsiTheme="minorHAnsi" w:cstheme="minorHAnsi"/>
          <w:lang w:eastAsia="en-GB"/>
        </w:rPr>
        <w:t xml:space="preserve"> </w:t>
      </w:r>
      <w:r w:rsidR="00BE505F">
        <w:rPr>
          <w:rFonts w:asciiTheme="minorHAnsi" w:hAnsiTheme="minorHAnsi" w:cstheme="minorHAnsi"/>
          <w:lang w:eastAsia="en-GB"/>
        </w:rPr>
        <w:t xml:space="preserve"> </w:t>
      </w:r>
      <w:r w:rsidR="00BE505F" w:rsidRPr="00BE505F">
        <w:rPr>
          <w:rFonts w:asciiTheme="minorHAnsi" w:hAnsiTheme="minorHAnsi" w:cstheme="minorHAnsi"/>
          <w:lang w:eastAsia="en-GB"/>
        </w:rPr>
        <w:t xml:space="preserve">We deal with </w:t>
      </w:r>
      <w:r w:rsidR="00BE505F">
        <w:rPr>
          <w:rFonts w:asciiTheme="minorHAnsi" w:hAnsiTheme="minorHAnsi" w:cstheme="minorHAnsi"/>
          <w:lang w:eastAsia="en-GB"/>
        </w:rPr>
        <w:t>this under “</w:t>
      </w:r>
      <w:r w:rsidR="00BE505F" w:rsidRPr="00BE505F">
        <w:rPr>
          <w:rFonts w:asciiTheme="minorHAnsi" w:hAnsiTheme="minorHAnsi" w:cstheme="minorHAnsi"/>
          <w:b/>
          <w:i/>
          <w:color w:val="0070C0"/>
          <w:szCs w:val="24"/>
          <w:lang w:eastAsia="en-GB"/>
        </w:rPr>
        <w:t>Modification(s) considered necessary</w:t>
      </w:r>
      <w:r w:rsidR="00BE505F">
        <w:rPr>
          <w:rFonts w:asciiTheme="minorHAnsi" w:hAnsiTheme="minorHAnsi" w:cstheme="minorHAnsi"/>
          <w:b/>
          <w:i/>
          <w:color w:val="0070C0"/>
          <w:szCs w:val="24"/>
          <w:lang w:eastAsia="en-GB"/>
        </w:rPr>
        <w:t>”</w:t>
      </w:r>
    </w:p>
    <w:p w:rsidR="00EC5BD0" w:rsidRDefault="00655165" w:rsidP="00FD5E24">
      <w:pPr>
        <w:pStyle w:val="ListParagraph"/>
        <w:numPr>
          <w:ilvl w:val="1"/>
          <w:numId w:val="1"/>
        </w:numPr>
        <w:spacing w:before="120"/>
        <w:ind w:left="0" w:hanging="567"/>
        <w:contextualSpacing w:val="0"/>
        <w:textAlignment w:val="baseline"/>
        <w:rPr>
          <w:rFonts w:asciiTheme="minorHAnsi" w:hAnsiTheme="minorHAnsi" w:cstheme="minorHAnsi"/>
          <w:lang w:eastAsia="en-GB"/>
        </w:rPr>
      </w:pPr>
      <w:r w:rsidRPr="00655165">
        <w:rPr>
          <w:rFonts w:asciiTheme="minorHAnsi" w:hAnsiTheme="minorHAnsi" w:cstheme="minorHAnsi"/>
          <w:lang w:eastAsia="en-GB"/>
        </w:rPr>
        <w:t>CPRE Shropshire is a registered charity run by volunteers, with one part-time employee, and which currently has around 400 registered members throughout the ceremonial county of Shropshire</w:t>
      </w:r>
      <w:r>
        <w:rPr>
          <w:rFonts w:asciiTheme="minorHAnsi" w:hAnsiTheme="minorHAnsi" w:cstheme="minorHAnsi"/>
          <w:lang w:eastAsia="en-GB"/>
        </w:rPr>
        <w:t>.</w:t>
      </w:r>
    </w:p>
    <w:p w:rsidR="00513D12" w:rsidRPr="00513D12" w:rsidRDefault="00513D12" w:rsidP="00FD5E24">
      <w:pPr>
        <w:pStyle w:val="ListParagraph"/>
        <w:numPr>
          <w:ilvl w:val="1"/>
          <w:numId w:val="1"/>
        </w:numPr>
        <w:spacing w:before="120"/>
        <w:ind w:left="0" w:hanging="567"/>
        <w:contextualSpacing w:val="0"/>
        <w:textAlignment w:val="baseline"/>
        <w:rPr>
          <w:rFonts w:asciiTheme="minorHAnsi" w:hAnsiTheme="minorHAnsi" w:cstheme="minorHAnsi"/>
          <w:lang w:eastAsia="en-GB"/>
        </w:rPr>
      </w:pPr>
      <w:r>
        <w:rPr>
          <w:rFonts w:asciiTheme="minorHAnsi" w:hAnsiTheme="minorHAnsi" w:cstheme="minorHAnsi"/>
          <w:szCs w:val="24"/>
          <w:lang w:eastAsia="en-GB"/>
        </w:rPr>
        <w:t>We have engaged with Shropshire Council at all consultation stages of the Local Plan Review process and</w:t>
      </w:r>
      <w:r w:rsidRPr="00513D12">
        <w:rPr>
          <w:rFonts w:asciiTheme="minorHAnsi" w:hAnsiTheme="minorHAnsi" w:cstheme="minorHAnsi"/>
          <w:lang w:eastAsia="en-GB"/>
        </w:rPr>
        <w:t xml:space="preserve"> </w:t>
      </w:r>
      <w:r>
        <w:rPr>
          <w:rFonts w:asciiTheme="minorHAnsi" w:hAnsiTheme="minorHAnsi" w:cstheme="minorHAnsi"/>
          <w:lang w:eastAsia="en-GB"/>
        </w:rPr>
        <w:t>its related Economic Growth Strategy</w:t>
      </w:r>
      <w:r>
        <w:rPr>
          <w:rFonts w:asciiTheme="minorHAnsi" w:hAnsiTheme="minorHAnsi" w:cstheme="minorHAnsi"/>
          <w:szCs w:val="24"/>
          <w:lang w:eastAsia="en-GB"/>
        </w:rPr>
        <w:t>, which have been:</w:t>
      </w:r>
    </w:p>
    <w:tbl>
      <w:tblPr>
        <w:tblStyle w:val="TableGrid"/>
        <w:tblW w:w="0" w:type="auto"/>
        <w:tblLook w:val="04A0" w:firstRow="1" w:lastRow="0" w:firstColumn="1" w:lastColumn="0" w:noHBand="0" w:noVBand="1"/>
      </w:tblPr>
      <w:tblGrid>
        <w:gridCol w:w="534"/>
        <w:gridCol w:w="3118"/>
        <w:gridCol w:w="4253"/>
        <w:gridCol w:w="1337"/>
      </w:tblGrid>
      <w:tr w:rsidR="00513D12" w:rsidTr="001251D0">
        <w:tc>
          <w:tcPr>
            <w:tcW w:w="534" w:type="dxa"/>
          </w:tcPr>
          <w:p w:rsidR="00513D12" w:rsidRPr="006E2EB0" w:rsidRDefault="00513D12" w:rsidP="001D3202">
            <w:pPr>
              <w:pStyle w:val="ListParagraph"/>
              <w:spacing w:before="60" w:after="60"/>
              <w:contextualSpacing w:val="0"/>
              <w:textAlignment w:val="baseline"/>
              <w:rPr>
                <w:rFonts w:asciiTheme="minorHAnsi" w:hAnsiTheme="minorHAnsi" w:cstheme="minorHAnsi"/>
                <w:szCs w:val="24"/>
                <w:lang w:eastAsia="en-GB"/>
              </w:rPr>
            </w:pPr>
          </w:p>
        </w:tc>
        <w:tc>
          <w:tcPr>
            <w:tcW w:w="3118" w:type="dxa"/>
          </w:tcPr>
          <w:p w:rsidR="00513D12" w:rsidRPr="00513D12" w:rsidRDefault="00513D12" w:rsidP="001D3202">
            <w:pPr>
              <w:pStyle w:val="ListParagraph"/>
              <w:spacing w:before="60" w:after="60"/>
              <w:contextualSpacing w:val="0"/>
              <w:textAlignment w:val="baseline"/>
              <w:rPr>
                <w:rFonts w:asciiTheme="minorHAnsi" w:hAnsiTheme="minorHAnsi" w:cstheme="minorHAnsi"/>
                <w:b/>
                <w:szCs w:val="24"/>
                <w:lang w:eastAsia="en-GB"/>
              </w:rPr>
            </w:pPr>
            <w:r w:rsidRPr="00513D12">
              <w:rPr>
                <w:rFonts w:asciiTheme="minorHAnsi" w:hAnsiTheme="minorHAnsi" w:cstheme="minorHAnsi"/>
                <w:b/>
                <w:szCs w:val="24"/>
                <w:lang w:eastAsia="en-GB"/>
              </w:rPr>
              <w:t>Stage</w:t>
            </w:r>
          </w:p>
        </w:tc>
        <w:tc>
          <w:tcPr>
            <w:tcW w:w="4253" w:type="dxa"/>
          </w:tcPr>
          <w:p w:rsidR="00513D12" w:rsidRPr="00513D12" w:rsidRDefault="00513D12" w:rsidP="001D3202">
            <w:pPr>
              <w:pStyle w:val="ListParagraph"/>
              <w:spacing w:before="60" w:after="60"/>
              <w:contextualSpacing w:val="0"/>
              <w:textAlignment w:val="baseline"/>
              <w:rPr>
                <w:rFonts w:asciiTheme="minorHAnsi" w:hAnsiTheme="minorHAnsi" w:cstheme="minorHAnsi"/>
                <w:b/>
                <w:szCs w:val="24"/>
                <w:lang w:eastAsia="en-GB"/>
              </w:rPr>
            </w:pPr>
            <w:r w:rsidRPr="00513D12">
              <w:rPr>
                <w:rFonts w:asciiTheme="minorHAnsi" w:hAnsiTheme="minorHAnsi" w:cstheme="minorHAnsi"/>
                <w:b/>
                <w:szCs w:val="24"/>
                <w:lang w:eastAsia="en-GB"/>
              </w:rPr>
              <w:t>Consultation dates</w:t>
            </w:r>
          </w:p>
        </w:tc>
        <w:tc>
          <w:tcPr>
            <w:tcW w:w="1337" w:type="dxa"/>
          </w:tcPr>
          <w:p w:rsidR="00513D12" w:rsidRPr="00513D12" w:rsidRDefault="00513D12" w:rsidP="001D3202">
            <w:pPr>
              <w:pStyle w:val="ListParagraph"/>
              <w:spacing w:before="60" w:after="60"/>
              <w:contextualSpacing w:val="0"/>
              <w:textAlignment w:val="baseline"/>
              <w:rPr>
                <w:rFonts w:asciiTheme="minorHAnsi" w:hAnsiTheme="minorHAnsi" w:cstheme="minorHAnsi"/>
                <w:b/>
                <w:szCs w:val="24"/>
                <w:lang w:eastAsia="en-GB"/>
              </w:rPr>
            </w:pPr>
            <w:r w:rsidRPr="00513D12">
              <w:rPr>
                <w:rFonts w:asciiTheme="minorHAnsi" w:hAnsiTheme="minorHAnsi" w:cstheme="minorHAnsi"/>
                <w:b/>
                <w:szCs w:val="24"/>
                <w:lang w:eastAsia="en-GB"/>
              </w:rPr>
              <w:t>Duration</w:t>
            </w:r>
          </w:p>
        </w:tc>
      </w:tr>
      <w:tr w:rsidR="00513D12" w:rsidTr="001251D0">
        <w:tc>
          <w:tcPr>
            <w:tcW w:w="534"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a)</w:t>
            </w:r>
          </w:p>
        </w:tc>
        <w:tc>
          <w:tcPr>
            <w:tcW w:w="3118"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Issues and Strategic Options</w:t>
            </w:r>
          </w:p>
        </w:tc>
        <w:tc>
          <w:tcPr>
            <w:tcW w:w="4253"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Monday 23 January 2017 – Monday 20 March 2017</w:t>
            </w:r>
          </w:p>
        </w:tc>
        <w:tc>
          <w:tcPr>
            <w:tcW w:w="1337"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8 weeks</w:t>
            </w:r>
          </w:p>
        </w:tc>
      </w:tr>
      <w:tr w:rsidR="00513D12" w:rsidTr="001251D0">
        <w:tc>
          <w:tcPr>
            <w:tcW w:w="534" w:type="dxa"/>
          </w:tcPr>
          <w:p w:rsidR="00513D12" w:rsidRPr="006E2EB0" w:rsidRDefault="00513D12" w:rsidP="001D3202">
            <w:pPr>
              <w:pStyle w:val="ListParagraph"/>
              <w:spacing w:before="60" w:after="60"/>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b)</w:t>
            </w:r>
          </w:p>
        </w:tc>
        <w:tc>
          <w:tcPr>
            <w:tcW w:w="3118" w:type="dxa"/>
          </w:tcPr>
          <w:p w:rsidR="00513D12" w:rsidRPr="001251D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BD1E4E">
              <w:rPr>
                <w:rFonts w:asciiTheme="minorHAnsi" w:hAnsiTheme="minorHAnsi" w:cstheme="minorHAnsi"/>
                <w:sz w:val="24"/>
                <w:szCs w:val="24"/>
                <w:lang w:eastAsia="en-GB"/>
              </w:rPr>
              <w:t>Draft Economic Growth St</w:t>
            </w:r>
            <w:r>
              <w:rPr>
                <w:rFonts w:asciiTheme="minorHAnsi" w:hAnsiTheme="minorHAnsi" w:cstheme="minorHAnsi"/>
                <w:sz w:val="24"/>
                <w:szCs w:val="24"/>
                <w:lang w:eastAsia="en-GB"/>
              </w:rPr>
              <w:t>r</w:t>
            </w:r>
            <w:r w:rsidRPr="00BD1E4E">
              <w:rPr>
                <w:rFonts w:asciiTheme="minorHAnsi" w:hAnsiTheme="minorHAnsi" w:cstheme="minorHAnsi"/>
                <w:sz w:val="24"/>
                <w:szCs w:val="24"/>
                <w:lang w:eastAsia="en-GB"/>
              </w:rPr>
              <w:t>ategy</w:t>
            </w:r>
          </w:p>
        </w:tc>
        <w:tc>
          <w:tcPr>
            <w:tcW w:w="4253" w:type="dxa"/>
          </w:tcPr>
          <w:p w:rsidR="00513D12" w:rsidRPr="001251D0" w:rsidRDefault="00513D12" w:rsidP="001251D0">
            <w:pPr>
              <w:pStyle w:val="ListParagraph"/>
              <w:spacing w:after="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 xml:space="preserve">Monday </w:t>
            </w:r>
            <w:r w:rsidRPr="00BD1E4E">
              <w:rPr>
                <w:rFonts w:asciiTheme="minorHAnsi" w:hAnsiTheme="minorHAnsi" w:cstheme="minorHAnsi"/>
                <w:sz w:val="24"/>
                <w:szCs w:val="24"/>
                <w:lang w:eastAsia="en-GB"/>
              </w:rPr>
              <w:t xml:space="preserve">13 March 2017 – </w:t>
            </w:r>
            <w:r>
              <w:rPr>
                <w:rFonts w:asciiTheme="minorHAnsi" w:hAnsiTheme="minorHAnsi" w:cstheme="minorHAnsi"/>
                <w:sz w:val="24"/>
                <w:szCs w:val="24"/>
                <w:lang w:eastAsia="en-GB"/>
              </w:rPr>
              <w:t xml:space="preserve">Friday </w:t>
            </w:r>
            <w:r w:rsidRPr="00BD1E4E">
              <w:rPr>
                <w:rFonts w:asciiTheme="minorHAnsi" w:hAnsiTheme="minorHAnsi" w:cstheme="minorHAnsi"/>
                <w:sz w:val="24"/>
                <w:szCs w:val="24"/>
                <w:lang w:eastAsia="en-GB"/>
              </w:rPr>
              <w:t>28 April 2017</w:t>
            </w:r>
          </w:p>
        </w:tc>
        <w:tc>
          <w:tcPr>
            <w:tcW w:w="1337" w:type="dxa"/>
          </w:tcPr>
          <w:p w:rsidR="00513D12" w:rsidRPr="006E2EB0" w:rsidRDefault="00513D12" w:rsidP="001D3202">
            <w:pPr>
              <w:pStyle w:val="ListParagraph"/>
              <w:spacing w:before="60" w:after="60"/>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7 weeks, overlapping</w:t>
            </w:r>
          </w:p>
        </w:tc>
      </w:tr>
      <w:tr w:rsidR="00513D12" w:rsidTr="001251D0">
        <w:tc>
          <w:tcPr>
            <w:tcW w:w="534"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c</w:t>
            </w:r>
            <w:r w:rsidRPr="006E2EB0">
              <w:rPr>
                <w:rFonts w:asciiTheme="minorHAnsi" w:hAnsiTheme="minorHAnsi" w:cstheme="minorHAnsi"/>
                <w:sz w:val="24"/>
                <w:szCs w:val="24"/>
                <w:lang w:eastAsia="en-GB"/>
              </w:rPr>
              <w:t>)</w:t>
            </w:r>
          </w:p>
        </w:tc>
        <w:tc>
          <w:tcPr>
            <w:tcW w:w="3118"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Preferred Scale and Distribution of Development</w:t>
            </w:r>
          </w:p>
        </w:tc>
        <w:tc>
          <w:tcPr>
            <w:tcW w:w="4253"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Friday 27 October 2017 – Friday 22 December 2017</w:t>
            </w:r>
          </w:p>
        </w:tc>
        <w:tc>
          <w:tcPr>
            <w:tcW w:w="1337"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8 weeks</w:t>
            </w:r>
          </w:p>
        </w:tc>
      </w:tr>
      <w:tr w:rsidR="00513D12" w:rsidTr="001251D0">
        <w:tc>
          <w:tcPr>
            <w:tcW w:w="534"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d</w:t>
            </w:r>
            <w:r w:rsidRPr="006E2EB0">
              <w:rPr>
                <w:rFonts w:asciiTheme="minorHAnsi" w:hAnsiTheme="minorHAnsi" w:cstheme="minorHAnsi"/>
                <w:sz w:val="24"/>
                <w:szCs w:val="24"/>
                <w:lang w:eastAsia="en-GB"/>
              </w:rPr>
              <w:t>)</w:t>
            </w:r>
          </w:p>
        </w:tc>
        <w:tc>
          <w:tcPr>
            <w:tcW w:w="3118"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Preferred Sites</w:t>
            </w:r>
          </w:p>
        </w:tc>
        <w:tc>
          <w:tcPr>
            <w:tcW w:w="4253"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 xml:space="preserve">Thursday 29 November 2018 – </w:t>
            </w:r>
            <w:r>
              <w:rPr>
                <w:rFonts w:asciiTheme="minorHAnsi" w:hAnsiTheme="minorHAnsi" w:cstheme="minorHAnsi"/>
                <w:sz w:val="24"/>
                <w:szCs w:val="24"/>
                <w:lang w:eastAsia="en-GB"/>
              </w:rPr>
              <w:t>Friday 8</w:t>
            </w:r>
            <w:r w:rsidRPr="001251D0">
              <w:rPr>
                <w:rFonts w:asciiTheme="minorHAnsi" w:hAnsiTheme="minorHAnsi" w:cstheme="minorHAnsi"/>
                <w:sz w:val="24"/>
                <w:szCs w:val="24"/>
                <w:lang w:eastAsia="en-GB"/>
              </w:rPr>
              <w:t>th</w:t>
            </w:r>
            <w:r>
              <w:rPr>
                <w:rFonts w:asciiTheme="minorHAnsi" w:hAnsiTheme="minorHAnsi" w:cstheme="minorHAnsi"/>
                <w:sz w:val="24"/>
                <w:szCs w:val="24"/>
                <w:lang w:eastAsia="en-GB"/>
              </w:rPr>
              <w:t xml:space="preserve"> February (extended from </w:t>
            </w:r>
            <w:r w:rsidRPr="006E2EB0">
              <w:rPr>
                <w:rFonts w:asciiTheme="minorHAnsi" w:hAnsiTheme="minorHAnsi" w:cstheme="minorHAnsi"/>
                <w:sz w:val="24"/>
                <w:szCs w:val="24"/>
                <w:lang w:eastAsia="en-GB"/>
              </w:rPr>
              <w:t>Thursday 31 January 2019</w:t>
            </w:r>
            <w:r>
              <w:rPr>
                <w:rFonts w:asciiTheme="minorHAnsi" w:hAnsiTheme="minorHAnsi" w:cstheme="minorHAnsi"/>
                <w:sz w:val="24"/>
                <w:szCs w:val="24"/>
                <w:lang w:eastAsia="en-GB"/>
              </w:rPr>
              <w:t>)</w:t>
            </w:r>
          </w:p>
        </w:tc>
        <w:tc>
          <w:tcPr>
            <w:tcW w:w="1337"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10 weeks</w:t>
            </w:r>
          </w:p>
        </w:tc>
      </w:tr>
      <w:tr w:rsidR="00513D12" w:rsidTr="001251D0">
        <w:tc>
          <w:tcPr>
            <w:tcW w:w="534"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e)</w:t>
            </w:r>
          </w:p>
        </w:tc>
        <w:tc>
          <w:tcPr>
            <w:tcW w:w="3118"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sidRPr="006E2EB0">
              <w:rPr>
                <w:rFonts w:asciiTheme="minorHAnsi" w:hAnsiTheme="minorHAnsi" w:cstheme="minorHAnsi"/>
                <w:sz w:val="24"/>
                <w:szCs w:val="24"/>
                <w:lang w:eastAsia="en-GB"/>
              </w:rPr>
              <w:t>Strategic Sites</w:t>
            </w:r>
          </w:p>
        </w:tc>
        <w:tc>
          <w:tcPr>
            <w:tcW w:w="4253"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 xml:space="preserve">Monday </w:t>
            </w:r>
            <w:r w:rsidRPr="006E2EB0">
              <w:rPr>
                <w:rFonts w:asciiTheme="minorHAnsi" w:hAnsiTheme="minorHAnsi" w:cstheme="minorHAnsi"/>
                <w:sz w:val="24"/>
                <w:szCs w:val="24"/>
                <w:lang w:eastAsia="en-GB"/>
              </w:rPr>
              <w:t xml:space="preserve">1st </w:t>
            </w:r>
            <w:r>
              <w:rPr>
                <w:rFonts w:asciiTheme="minorHAnsi" w:hAnsiTheme="minorHAnsi" w:cstheme="minorHAnsi"/>
                <w:sz w:val="24"/>
                <w:szCs w:val="24"/>
                <w:lang w:eastAsia="en-GB"/>
              </w:rPr>
              <w:t xml:space="preserve">July 2019 </w:t>
            </w:r>
            <w:r w:rsidRPr="006E2EB0">
              <w:rPr>
                <w:rFonts w:asciiTheme="minorHAnsi" w:hAnsiTheme="minorHAnsi" w:cstheme="minorHAnsi"/>
                <w:sz w:val="24"/>
                <w:szCs w:val="24"/>
                <w:lang w:eastAsia="en-GB"/>
              </w:rPr>
              <w:t xml:space="preserve">– </w:t>
            </w:r>
            <w:r>
              <w:rPr>
                <w:rFonts w:asciiTheme="minorHAnsi" w:hAnsiTheme="minorHAnsi" w:cstheme="minorHAnsi"/>
                <w:sz w:val="24"/>
                <w:szCs w:val="24"/>
                <w:lang w:eastAsia="en-GB"/>
              </w:rPr>
              <w:t xml:space="preserve">Monday </w:t>
            </w:r>
            <w:r w:rsidRPr="006E2EB0">
              <w:rPr>
                <w:rFonts w:asciiTheme="minorHAnsi" w:hAnsiTheme="minorHAnsi" w:cstheme="minorHAnsi"/>
                <w:sz w:val="24"/>
                <w:szCs w:val="24"/>
                <w:lang w:eastAsia="en-GB"/>
              </w:rPr>
              <w:t>9th September 2019</w:t>
            </w:r>
          </w:p>
        </w:tc>
        <w:tc>
          <w:tcPr>
            <w:tcW w:w="1337"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10 weeks</w:t>
            </w:r>
          </w:p>
        </w:tc>
      </w:tr>
      <w:tr w:rsidR="00513D12" w:rsidTr="001251D0">
        <w:tc>
          <w:tcPr>
            <w:tcW w:w="534"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f)</w:t>
            </w:r>
          </w:p>
        </w:tc>
        <w:tc>
          <w:tcPr>
            <w:tcW w:w="3118" w:type="dxa"/>
          </w:tcPr>
          <w:p w:rsidR="00513D12" w:rsidRPr="006E2EB0" w:rsidRDefault="00477F0A" w:rsidP="001251D0">
            <w:pPr>
              <w:pStyle w:val="ListParagraph"/>
              <w:spacing w:after="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 xml:space="preserve">Regulation 18 </w:t>
            </w:r>
            <w:r w:rsidR="00513D12">
              <w:rPr>
                <w:rFonts w:asciiTheme="minorHAnsi" w:hAnsiTheme="minorHAnsi" w:cstheme="minorHAnsi"/>
                <w:sz w:val="24"/>
                <w:szCs w:val="24"/>
                <w:lang w:eastAsia="en-GB"/>
              </w:rPr>
              <w:t>Pre-submission Draft Plan</w:t>
            </w:r>
          </w:p>
        </w:tc>
        <w:tc>
          <w:tcPr>
            <w:tcW w:w="4253" w:type="dxa"/>
          </w:tcPr>
          <w:p w:rsidR="00513D12" w:rsidRPr="006E2EB0" w:rsidRDefault="00513D12" w:rsidP="001251D0">
            <w:pPr>
              <w:pStyle w:val="ListParagraph"/>
              <w:spacing w:after="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Monday 3rd</w:t>
            </w:r>
            <w:r w:rsidRPr="006E2EB0">
              <w:rPr>
                <w:rFonts w:asciiTheme="minorHAnsi" w:hAnsiTheme="minorHAnsi" w:cstheme="minorHAnsi"/>
                <w:sz w:val="24"/>
                <w:szCs w:val="24"/>
                <w:lang w:eastAsia="en-GB"/>
              </w:rPr>
              <w:t xml:space="preserve"> </w:t>
            </w:r>
            <w:r>
              <w:rPr>
                <w:rFonts w:asciiTheme="minorHAnsi" w:hAnsiTheme="minorHAnsi" w:cstheme="minorHAnsi"/>
                <w:sz w:val="24"/>
                <w:szCs w:val="24"/>
                <w:lang w:eastAsia="en-GB"/>
              </w:rPr>
              <w:t xml:space="preserve">August 2020 </w:t>
            </w:r>
            <w:r w:rsidRPr="006E2EB0">
              <w:rPr>
                <w:rFonts w:asciiTheme="minorHAnsi" w:hAnsiTheme="minorHAnsi" w:cstheme="minorHAnsi"/>
                <w:sz w:val="24"/>
                <w:szCs w:val="24"/>
                <w:lang w:eastAsia="en-GB"/>
              </w:rPr>
              <w:t xml:space="preserve">– </w:t>
            </w:r>
            <w:r>
              <w:rPr>
                <w:rFonts w:asciiTheme="minorHAnsi" w:hAnsiTheme="minorHAnsi" w:cstheme="minorHAnsi"/>
                <w:sz w:val="24"/>
                <w:szCs w:val="24"/>
                <w:lang w:eastAsia="en-GB"/>
              </w:rPr>
              <w:t>Wednesday 30th September 2020 (extended to 9</w:t>
            </w:r>
            <w:r w:rsidRPr="001251D0">
              <w:rPr>
                <w:rFonts w:asciiTheme="minorHAnsi" w:hAnsiTheme="minorHAnsi" w:cstheme="minorHAnsi"/>
                <w:sz w:val="24"/>
                <w:szCs w:val="24"/>
                <w:lang w:eastAsia="en-GB"/>
              </w:rPr>
              <w:t>th</w:t>
            </w:r>
            <w:r>
              <w:rPr>
                <w:rFonts w:asciiTheme="minorHAnsi" w:hAnsiTheme="minorHAnsi" w:cstheme="minorHAnsi"/>
                <w:sz w:val="24"/>
                <w:szCs w:val="24"/>
                <w:lang w:eastAsia="en-GB"/>
              </w:rPr>
              <w:t xml:space="preserve"> October in some cases)</w:t>
            </w:r>
          </w:p>
        </w:tc>
        <w:tc>
          <w:tcPr>
            <w:tcW w:w="1337" w:type="dxa"/>
          </w:tcPr>
          <w:p w:rsidR="00513D12" w:rsidRPr="006E2EB0" w:rsidRDefault="00513D12" w:rsidP="001D3202">
            <w:pPr>
              <w:pStyle w:val="ListParagraph"/>
              <w:spacing w:before="60" w:after="60"/>
              <w:contextualSpacing w:val="0"/>
              <w:textAlignment w:val="baseline"/>
              <w:rPr>
                <w:rFonts w:asciiTheme="minorHAnsi" w:hAnsiTheme="minorHAnsi" w:cstheme="minorHAnsi"/>
                <w:sz w:val="24"/>
                <w:szCs w:val="24"/>
                <w:lang w:eastAsia="en-GB"/>
              </w:rPr>
            </w:pPr>
            <w:r>
              <w:rPr>
                <w:rFonts w:asciiTheme="minorHAnsi" w:hAnsiTheme="minorHAnsi" w:cstheme="minorHAnsi"/>
                <w:sz w:val="24"/>
                <w:szCs w:val="24"/>
                <w:lang w:eastAsia="en-GB"/>
              </w:rPr>
              <w:t>8/10 weeks</w:t>
            </w:r>
          </w:p>
        </w:tc>
      </w:tr>
    </w:tbl>
    <w:p w:rsidR="009C418C" w:rsidRPr="009C418C" w:rsidRDefault="009C418C"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szCs w:val="24"/>
          <w:lang w:eastAsia="en-GB"/>
        </w:rPr>
        <w:lastRenderedPageBreak/>
        <w:t>Throughout the consultation process w</w:t>
      </w:r>
      <w:r w:rsidR="00655165">
        <w:rPr>
          <w:rFonts w:asciiTheme="minorHAnsi" w:hAnsiTheme="minorHAnsi" w:cstheme="minorHAnsi"/>
          <w:szCs w:val="24"/>
          <w:lang w:eastAsia="en-GB"/>
        </w:rPr>
        <w:t xml:space="preserve">e have </w:t>
      </w:r>
      <w:r>
        <w:rPr>
          <w:rFonts w:asciiTheme="minorHAnsi" w:hAnsiTheme="minorHAnsi" w:cstheme="minorHAnsi"/>
          <w:szCs w:val="24"/>
          <w:lang w:eastAsia="en-GB"/>
        </w:rPr>
        <w:t xml:space="preserve">consistently </w:t>
      </w:r>
      <w:r w:rsidR="00655165">
        <w:rPr>
          <w:rFonts w:asciiTheme="minorHAnsi" w:hAnsiTheme="minorHAnsi" w:cstheme="minorHAnsi"/>
          <w:szCs w:val="24"/>
          <w:lang w:eastAsia="en-GB"/>
        </w:rPr>
        <w:t xml:space="preserve">put forward detailed arguments in support of </w:t>
      </w:r>
      <w:r>
        <w:rPr>
          <w:rFonts w:asciiTheme="minorHAnsi" w:hAnsiTheme="minorHAnsi" w:cstheme="minorHAnsi"/>
          <w:szCs w:val="24"/>
          <w:lang w:eastAsia="en-GB"/>
        </w:rPr>
        <w:t>our</w:t>
      </w:r>
      <w:r w:rsidR="00655165">
        <w:rPr>
          <w:rFonts w:asciiTheme="minorHAnsi" w:hAnsiTheme="minorHAnsi" w:cstheme="minorHAnsi"/>
          <w:szCs w:val="24"/>
          <w:lang w:eastAsia="en-GB"/>
        </w:rPr>
        <w:t xml:space="preserve"> position</w:t>
      </w:r>
      <w:r>
        <w:rPr>
          <w:rFonts w:asciiTheme="minorHAnsi" w:hAnsiTheme="minorHAnsi" w:cstheme="minorHAnsi"/>
          <w:szCs w:val="24"/>
          <w:lang w:eastAsia="en-GB"/>
        </w:rPr>
        <w:t>, which can be summarised as that the plan:</w:t>
      </w:r>
    </w:p>
    <w:p w:rsidR="009C418C" w:rsidRDefault="009C418C" w:rsidP="002427CD">
      <w:pPr>
        <w:pStyle w:val="ListParagraph"/>
        <w:numPr>
          <w:ilvl w:val="0"/>
          <w:numId w:val="5"/>
        </w:numPr>
        <w:spacing w:after="60"/>
        <w:ind w:left="567" w:hanging="567"/>
        <w:contextualSpacing w:val="0"/>
        <w:textAlignment w:val="baseline"/>
        <w:rPr>
          <w:rFonts w:asciiTheme="minorHAnsi" w:hAnsiTheme="minorHAnsi" w:cstheme="minorHAnsi"/>
          <w:lang w:eastAsia="en-GB"/>
        </w:rPr>
      </w:pPr>
      <w:r>
        <w:rPr>
          <w:rFonts w:asciiTheme="minorHAnsi" w:hAnsiTheme="minorHAnsi" w:cstheme="minorHAnsi"/>
          <w:lang w:eastAsia="en-GB"/>
        </w:rPr>
        <w:t>has a flawed consultation process, which is undemocratic</w:t>
      </w:r>
    </w:p>
    <w:p w:rsidR="009C418C" w:rsidRPr="00B77BAA" w:rsidRDefault="009C418C" w:rsidP="002427CD">
      <w:pPr>
        <w:pStyle w:val="ListParagraph"/>
        <w:numPr>
          <w:ilvl w:val="0"/>
          <w:numId w:val="5"/>
        </w:numPr>
        <w:spacing w:after="60"/>
        <w:ind w:left="567"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seeks </w:t>
      </w:r>
      <w:r w:rsidRPr="00B77BAA">
        <w:rPr>
          <w:rFonts w:asciiTheme="minorHAnsi" w:hAnsiTheme="minorHAnsi" w:cstheme="minorHAnsi"/>
          <w:lang w:eastAsia="en-GB"/>
        </w:rPr>
        <w:t xml:space="preserve">growth </w:t>
      </w:r>
      <w:r>
        <w:rPr>
          <w:rFonts w:asciiTheme="minorHAnsi" w:hAnsiTheme="minorHAnsi" w:cstheme="minorHAnsi"/>
          <w:lang w:eastAsia="en-GB"/>
        </w:rPr>
        <w:t>well in excess of demographic need, which</w:t>
      </w:r>
      <w:r w:rsidRPr="00B77BAA">
        <w:rPr>
          <w:rFonts w:asciiTheme="minorHAnsi" w:hAnsiTheme="minorHAnsi" w:cstheme="minorHAnsi"/>
          <w:lang w:eastAsia="en-GB"/>
        </w:rPr>
        <w:t xml:space="preserve"> is not </w:t>
      </w:r>
      <w:r>
        <w:rPr>
          <w:rFonts w:asciiTheme="minorHAnsi" w:hAnsiTheme="minorHAnsi" w:cstheme="minorHAnsi"/>
          <w:lang w:eastAsia="en-GB"/>
        </w:rPr>
        <w:t xml:space="preserve">truly </w:t>
      </w:r>
      <w:r w:rsidRPr="00B77BAA">
        <w:rPr>
          <w:rFonts w:asciiTheme="minorHAnsi" w:hAnsiTheme="minorHAnsi" w:cstheme="minorHAnsi"/>
          <w:lang w:eastAsia="en-GB"/>
        </w:rPr>
        <w:t xml:space="preserve">sustainable, because it is </w:t>
      </w:r>
      <w:r>
        <w:rPr>
          <w:rFonts w:asciiTheme="minorHAnsi" w:hAnsiTheme="minorHAnsi" w:cstheme="minorHAnsi"/>
          <w:lang w:eastAsia="en-GB"/>
        </w:rPr>
        <w:t>at odds</w:t>
      </w:r>
      <w:r w:rsidRPr="00B77BAA">
        <w:rPr>
          <w:rFonts w:asciiTheme="minorHAnsi" w:hAnsiTheme="minorHAnsi" w:cstheme="minorHAnsi"/>
          <w:lang w:eastAsia="en-GB"/>
        </w:rPr>
        <w:t xml:space="preserve"> with both the climate emergency and the ecological emergency</w:t>
      </w:r>
      <w:r>
        <w:rPr>
          <w:rFonts w:asciiTheme="minorHAnsi" w:hAnsiTheme="minorHAnsi" w:cstheme="minorHAnsi"/>
          <w:lang w:eastAsia="en-GB"/>
        </w:rPr>
        <w:t>;</w:t>
      </w:r>
    </w:p>
    <w:p w:rsidR="009C418C" w:rsidRDefault="009C418C" w:rsidP="002427CD">
      <w:pPr>
        <w:pStyle w:val="ListParagraph"/>
        <w:numPr>
          <w:ilvl w:val="0"/>
          <w:numId w:val="5"/>
        </w:numPr>
        <w:spacing w:after="60"/>
        <w:ind w:left="567" w:hanging="567"/>
        <w:contextualSpacing w:val="0"/>
        <w:textAlignment w:val="baseline"/>
        <w:rPr>
          <w:rFonts w:asciiTheme="minorHAnsi" w:hAnsiTheme="minorHAnsi" w:cstheme="minorHAnsi"/>
          <w:lang w:eastAsia="en-GB"/>
        </w:rPr>
      </w:pPr>
      <w:r>
        <w:rPr>
          <w:rFonts w:asciiTheme="minorHAnsi" w:hAnsiTheme="minorHAnsi" w:cstheme="minorHAnsi"/>
          <w:lang w:eastAsia="en-GB"/>
        </w:rPr>
        <w:t>h</w:t>
      </w:r>
      <w:r w:rsidRPr="00F12F7F">
        <w:rPr>
          <w:rFonts w:asciiTheme="minorHAnsi" w:hAnsiTheme="minorHAnsi" w:cstheme="minorHAnsi"/>
          <w:lang w:eastAsia="en-GB"/>
        </w:rPr>
        <w:t xml:space="preserve">as targets for both housing and employment land that are </w:t>
      </w:r>
      <w:r>
        <w:rPr>
          <w:rFonts w:asciiTheme="minorHAnsi" w:hAnsiTheme="minorHAnsi" w:cstheme="minorHAnsi"/>
          <w:lang w:eastAsia="en-GB"/>
        </w:rPr>
        <w:t>unreasonably</w:t>
      </w:r>
      <w:r w:rsidRPr="00F12F7F">
        <w:rPr>
          <w:rFonts w:asciiTheme="minorHAnsi" w:hAnsiTheme="minorHAnsi" w:cstheme="minorHAnsi"/>
          <w:lang w:eastAsia="en-GB"/>
        </w:rPr>
        <w:t xml:space="preserve"> high, based on figures that are questionable</w:t>
      </w:r>
      <w:r>
        <w:rPr>
          <w:rFonts w:asciiTheme="minorHAnsi" w:hAnsiTheme="minorHAnsi" w:cstheme="minorHAnsi"/>
          <w:lang w:eastAsia="en-GB"/>
        </w:rPr>
        <w:t>; and</w:t>
      </w:r>
    </w:p>
    <w:p w:rsidR="009C418C" w:rsidRPr="009C418C" w:rsidRDefault="009C418C" w:rsidP="002427CD">
      <w:pPr>
        <w:pStyle w:val="ListParagraph"/>
        <w:numPr>
          <w:ilvl w:val="0"/>
          <w:numId w:val="5"/>
        </w:numPr>
        <w:spacing w:after="60"/>
        <w:ind w:left="567" w:hanging="567"/>
        <w:contextualSpacing w:val="0"/>
        <w:textAlignment w:val="baseline"/>
        <w:rPr>
          <w:rFonts w:asciiTheme="minorHAnsi" w:hAnsiTheme="minorHAnsi" w:cstheme="minorHAnsi"/>
          <w:lang w:eastAsia="en-GB"/>
        </w:rPr>
      </w:pPr>
      <w:r w:rsidRPr="00B77BAA">
        <w:rPr>
          <w:rFonts w:asciiTheme="minorHAnsi" w:hAnsiTheme="minorHAnsi" w:cstheme="minorHAnsi"/>
          <w:lang w:eastAsia="en-GB"/>
        </w:rPr>
        <w:t>won’t get the right sort of houses</w:t>
      </w:r>
      <w:r>
        <w:rPr>
          <w:rFonts w:asciiTheme="minorHAnsi" w:hAnsiTheme="minorHAnsi" w:cstheme="minorHAnsi"/>
          <w:lang w:eastAsia="en-GB"/>
        </w:rPr>
        <w:t>, particularly affordable houses,</w:t>
      </w:r>
      <w:r w:rsidRPr="00B77BAA">
        <w:rPr>
          <w:rFonts w:asciiTheme="minorHAnsi" w:hAnsiTheme="minorHAnsi" w:cstheme="minorHAnsi"/>
          <w:lang w:eastAsia="en-GB"/>
        </w:rPr>
        <w:t xml:space="preserve"> built in the right places</w:t>
      </w:r>
      <w:r>
        <w:rPr>
          <w:rFonts w:asciiTheme="minorHAnsi" w:hAnsiTheme="minorHAnsi" w:cstheme="minorHAnsi"/>
          <w:lang w:eastAsia="en-GB"/>
        </w:rPr>
        <w:t>.</w:t>
      </w:r>
    </w:p>
    <w:p w:rsidR="00EC5BD0" w:rsidRDefault="00655165"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szCs w:val="24"/>
          <w:lang w:eastAsia="en-GB"/>
        </w:rPr>
        <w:t xml:space="preserve">Shropshire </w:t>
      </w:r>
      <w:r w:rsidR="00FD0A1C">
        <w:rPr>
          <w:rFonts w:asciiTheme="minorHAnsi" w:hAnsiTheme="minorHAnsi" w:cstheme="minorHAnsi"/>
          <w:szCs w:val="24"/>
          <w:lang w:eastAsia="en-GB"/>
        </w:rPr>
        <w:t xml:space="preserve">Council has not accepted </w:t>
      </w:r>
      <w:r>
        <w:rPr>
          <w:rFonts w:asciiTheme="minorHAnsi" w:hAnsiTheme="minorHAnsi" w:cstheme="minorHAnsi"/>
          <w:szCs w:val="24"/>
          <w:lang w:eastAsia="en-GB"/>
        </w:rPr>
        <w:t xml:space="preserve">our arguments and has advised that </w:t>
      </w:r>
      <w:r>
        <w:rPr>
          <w:rFonts w:asciiTheme="minorHAnsi" w:hAnsiTheme="minorHAnsi" w:cstheme="minorHAnsi"/>
          <w:lang w:eastAsia="en-GB"/>
        </w:rPr>
        <w:t>if we disagreed with its position we could argue the case in front of an Inspector.</w:t>
      </w:r>
    </w:p>
    <w:p w:rsidR="00FD0A1C" w:rsidRDefault="00655165"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This submission is therefore primarily addressed to the Examining Inspector, in the expectation that Shropshire Council will, at this stage of the process, not </w:t>
      </w:r>
      <w:r w:rsidR="00950609">
        <w:rPr>
          <w:rFonts w:asciiTheme="minorHAnsi" w:hAnsiTheme="minorHAnsi" w:cstheme="minorHAnsi"/>
          <w:lang w:eastAsia="en-GB"/>
        </w:rPr>
        <w:t>make amendments to its Plan</w:t>
      </w:r>
      <w:r w:rsidR="006A1EB4">
        <w:rPr>
          <w:rFonts w:asciiTheme="minorHAnsi" w:hAnsiTheme="minorHAnsi" w:cstheme="minorHAnsi"/>
          <w:lang w:eastAsia="en-GB"/>
        </w:rPr>
        <w:t xml:space="preserve"> as a result of our arguments</w:t>
      </w:r>
      <w:r w:rsidR="00950609">
        <w:rPr>
          <w:rFonts w:asciiTheme="minorHAnsi" w:hAnsiTheme="minorHAnsi" w:cstheme="minorHAnsi"/>
          <w:lang w:eastAsia="en-GB"/>
        </w:rPr>
        <w:t>.</w:t>
      </w:r>
      <w:r w:rsidR="00FD0A1C">
        <w:rPr>
          <w:rFonts w:asciiTheme="minorHAnsi" w:hAnsiTheme="minorHAnsi" w:cstheme="minorHAnsi"/>
          <w:lang w:eastAsia="en-GB"/>
        </w:rPr>
        <w:t xml:space="preserve">  We therefore repeat and elaborate on the matters where</w:t>
      </w:r>
      <w:r w:rsidR="006A1EB4">
        <w:rPr>
          <w:rFonts w:asciiTheme="minorHAnsi" w:hAnsiTheme="minorHAnsi" w:cstheme="minorHAnsi"/>
          <w:lang w:eastAsia="en-GB"/>
        </w:rPr>
        <w:t xml:space="preserve"> we consider the Plan to be not legally compliant, unsound or not compliant with the Duty to Co-operate.  </w:t>
      </w:r>
    </w:p>
    <w:p w:rsidR="0059761D" w:rsidRDefault="00B5210F"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O</w:t>
      </w:r>
      <w:r w:rsidR="0059761D">
        <w:rPr>
          <w:rFonts w:asciiTheme="minorHAnsi" w:hAnsiTheme="minorHAnsi" w:cstheme="minorHAnsi"/>
          <w:lang w:eastAsia="en-GB"/>
        </w:rPr>
        <w:t xml:space="preserve">ur understanding is that Inspectors test the Plan solely against </w:t>
      </w:r>
      <w:r w:rsidR="003B61C6">
        <w:rPr>
          <w:rFonts w:asciiTheme="minorHAnsi" w:hAnsiTheme="minorHAnsi" w:cstheme="minorHAnsi"/>
          <w:lang w:eastAsia="en-GB"/>
        </w:rPr>
        <w:t xml:space="preserve">legislation and </w:t>
      </w:r>
      <w:r w:rsidR="0059761D">
        <w:rPr>
          <w:rFonts w:asciiTheme="minorHAnsi" w:hAnsiTheme="minorHAnsi" w:cstheme="minorHAnsi"/>
          <w:lang w:eastAsia="en-GB"/>
        </w:rPr>
        <w:t>the tests of soundness in NPPF paragraph</w:t>
      </w:r>
      <w:r w:rsidR="009A1782">
        <w:rPr>
          <w:rFonts w:asciiTheme="minorHAnsi" w:hAnsiTheme="minorHAnsi" w:cstheme="minorHAnsi"/>
          <w:lang w:eastAsia="en-GB"/>
        </w:rPr>
        <w:t>s</w:t>
      </w:r>
      <w:r w:rsidR="0059761D">
        <w:rPr>
          <w:rFonts w:asciiTheme="minorHAnsi" w:hAnsiTheme="minorHAnsi" w:cstheme="minorHAnsi"/>
          <w:lang w:eastAsia="en-GB"/>
        </w:rPr>
        <w:t xml:space="preserve"> 35</w:t>
      </w:r>
      <w:r w:rsidR="009A1782">
        <w:rPr>
          <w:rFonts w:asciiTheme="minorHAnsi" w:hAnsiTheme="minorHAnsi" w:cstheme="minorHAnsi"/>
          <w:lang w:eastAsia="en-GB"/>
        </w:rPr>
        <w:t xml:space="preserve"> and 36</w:t>
      </w:r>
      <w:r w:rsidR="0059761D">
        <w:rPr>
          <w:rFonts w:asciiTheme="minorHAnsi" w:hAnsiTheme="minorHAnsi" w:cstheme="minorHAnsi"/>
          <w:lang w:eastAsia="en-GB"/>
        </w:rPr>
        <w:t>, as follows:</w:t>
      </w:r>
    </w:p>
    <w:p w:rsidR="0059761D" w:rsidRPr="009A1782" w:rsidRDefault="0059761D" w:rsidP="006B3A81">
      <w:pPr>
        <w:keepNext/>
        <w:autoSpaceDE w:val="0"/>
        <w:autoSpaceDN w:val="0"/>
        <w:adjustRightInd w:val="0"/>
        <w:spacing w:before="60"/>
        <w:ind w:left="426"/>
        <w:rPr>
          <w:rFonts w:ascii="Arial" w:eastAsia="ArialMT" w:hAnsi="Arial" w:cs="Arial"/>
          <w:b/>
        </w:rPr>
      </w:pPr>
      <w:r w:rsidRPr="009A1782">
        <w:rPr>
          <w:rFonts w:ascii="Arial" w:eastAsia="ArialMT" w:hAnsi="Arial" w:cs="Arial"/>
          <w:b/>
        </w:rPr>
        <w:t>Examining plans</w:t>
      </w:r>
    </w:p>
    <w:p w:rsidR="0059761D" w:rsidRPr="009A1782" w:rsidRDefault="0059761D" w:rsidP="006B3A81">
      <w:pPr>
        <w:tabs>
          <w:tab w:val="left" w:pos="851"/>
        </w:tabs>
        <w:autoSpaceDE w:val="0"/>
        <w:autoSpaceDN w:val="0"/>
        <w:adjustRightInd w:val="0"/>
        <w:spacing w:before="60"/>
        <w:ind w:left="426"/>
        <w:rPr>
          <w:rFonts w:ascii="Arial" w:eastAsia="ArialMT" w:hAnsi="Arial" w:cs="Arial"/>
          <w:sz w:val="20"/>
          <w:szCs w:val="20"/>
        </w:rPr>
      </w:pPr>
      <w:r w:rsidRPr="009A1782">
        <w:rPr>
          <w:rFonts w:ascii="Arial" w:eastAsia="ArialMT" w:hAnsi="Arial" w:cs="Arial"/>
          <w:sz w:val="20"/>
          <w:szCs w:val="20"/>
        </w:rPr>
        <w:t xml:space="preserve">35. </w:t>
      </w:r>
      <w:r w:rsidRPr="009A1782">
        <w:rPr>
          <w:rFonts w:ascii="Arial" w:eastAsia="ArialMT" w:hAnsi="Arial" w:cs="Arial"/>
          <w:sz w:val="20"/>
          <w:szCs w:val="20"/>
        </w:rPr>
        <w:tab/>
        <w:t>Local plans and spatial development strategies are examined to assess whether they have been prepared in accordance with legal and procedural requirements, and whether they are sound. Plans are ‘sound’ if they are:</w:t>
      </w:r>
    </w:p>
    <w:p w:rsidR="0059761D" w:rsidRPr="009A1782" w:rsidRDefault="0059761D" w:rsidP="006B3A81">
      <w:pPr>
        <w:autoSpaceDE w:val="0"/>
        <w:autoSpaceDN w:val="0"/>
        <w:adjustRightInd w:val="0"/>
        <w:spacing w:before="60"/>
        <w:ind w:left="426"/>
        <w:rPr>
          <w:rFonts w:ascii="Arial" w:eastAsia="ArialMT" w:hAnsi="Arial" w:cs="Arial"/>
          <w:sz w:val="20"/>
          <w:szCs w:val="20"/>
        </w:rPr>
      </w:pPr>
      <w:r w:rsidRPr="009A1782">
        <w:rPr>
          <w:rFonts w:ascii="Arial" w:eastAsia="ArialMT" w:hAnsi="Arial" w:cs="Arial"/>
          <w:sz w:val="20"/>
          <w:szCs w:val="20"/>
        </w:rPr>
        <w:t xml:space="preserve">a) </w:t>
      </w:r>
      <w:r w:rsidRPr="009A1782">
        <w:rPr>
          <w:rFonts w:ascii="Arial" w:eastAsia="ArialMT" w:hAnsi="Arial" w:cs="Arial"/>
          <w:sz w:val="20"/>
          <w:szCs w:val="20"/>
        </w:rPr>
        <w:tab/>
      </w:r>
      <w:r w:rsidRPr="009A1782">
        <w:rPr>
          <w:rFonts w:ascii="Arial" w:eastAsia="ArialMT" w:hAnsi="Arial" w:cs="Arial"/>
          <w:b/>
          <w:bCs/>
          <w:sz w:val="20"/>
          <w:szCs w:val="20"/>
        </w:rPr>
        <w:t xml:space="preserve">Positively prepared </w:t>
      </w:r>
      <w:r w:rsidRPr="009A1782">
        <w:rPr>
          <w:rFonts w:ascii="Arial" w:eastAsia="ArialMT" w:hAnsi="Arial" w:cs="Arial"/>
          <w:sz w:val="20"/>
          <w:szCs w:val="20"/>
        </w:rPr>
        <w:t>– providing a strategy which, as a minimum, seeks to meet the area’s objectively</w:t>
      </w:r>
      <w:r w:rsidR="000545BE">
        <w:rPr>
          <w:rFonts w:ascii="Arial" w:eastAsia="ArialMT" w:hAnsi="Arial" w:cs="Arial"/>
          <w:sz w:val="20"/>
          <w:szCs w:val="20"/>
        </w:rPr>
        <w:t xml:space="preserve"> assessed needs</w:t>
      </w:r>
      <w:r w:rsidRPr="009A1782">
        <w:rPr>
          <w:rFonts w:ascii="Arial" w:eastAsia="ArialMT" w:hAnsi="Arial" w:cs="Arial"/>
          <w:sz w:val="20"/>
          <w:szCs w:val="20"/>
        </w:rPr>
        <w:t>; and is informed by agreements with other authorities, so that unmet need from neighbouring areas is accommodated where it is practical to do so and is consistent with achieving sustainable development;</w:t>
      </w:r>
    </w:p>
    <w:p w:rsidR="0059761D" w:rsidRPr="009A1782" w:rsidRDefault="0059761D" w:rsidP="006B3A81">
      <w:pPr>
        <w:autoSpaceDE w:val="0"/>
        <w:autoSpaceDN w:val="0"/>
        <w:adjustRightInd w:val="0"/>
        <w:spacing w:before="60"/>
        <w:ind w:left="426"/>
        <w:rPr>
          <w:rFonts w:ascii="Arial" w:eastAsia="ArialMT" w:hAnsi="Arial" w:cs="Arial"/>
          <w:sz w:val="20"/>
          <w:szCs w:val="20"/>
        </w:rPr>
      </w:pPr>
      <w:r w:rsidRPr="009A1782">
        <w:rPr>
          <w:rFonts w:ascii="Arial" w:eastAsia="ArialMT" w:hAnsi="Arial" w:cs="Arial"/>
          <w:sz w:val="20"/>
          <w:szCs w:val="20"/>
        </w:rPr>
        <w:t xml:space="preserve">b) </w:t>
      </w:r>
      <w:r w:rsidRPr="009A1782">
        <w:rPr>
          <w:rFonts w:ascii="Arial" w:eastAsia="ArialMT" w:hAnsi="Arial" w:cs="Arial"/>
          <w:sz w:val="20"/>
          <w:szCs w:val="20"/>
        </w:rPr>
        <w:tab/>
      </w:r>
      <w:r w:rsidRPr="009A1782">
        <w:rPr>
          <w:rFonts w:ascii="Arial" w:eastAsia="ArialMT" w:hAnsi="Arial" w:cs="Arial"/>
          <w:b/>
          <w:bCs/>
          <w:sz w:val="20"/>
          <w:szCs w:val="20"/>
        </w:rPr>
        <w:t xml:space="preserve">Justified </w:t>
      </w:r>
      <w:r w:rsidRPr="009A1782">
        <w:rPr>
          <w:rFonts w:ascii="Arial" w:eastAsia="ArialMT" w:hAnsi="Arial" w:cs="Arial"/>
          <w:sz w:val="20"/>
          <w:szCs w:val="20"/>
        </w:rPr>
        <w:t>– an appropriate strategy, taking into account the reasonable alternatives, and based on proportionate evidence;</w:t>
      </w:r>
    </w:p>
    <w:p w:rsidR="0059761D" w:rsidRPr="009A1782" w:rsidRDefault="0059761D" w:rsidP="006B3A81">
      <w:pPr>
        <w:autoSpaceDE w:val="0"/>
        <w:autoSpaceDN w:val="0"/>
        <w:adjustRightInd w:val="0"/>
        <w:spacing w:before="60"/>
        <w:ind w:left="426"/>
        <w:rPr>
          <w:rFonts w:ascii="Arial" w:eastAsia="ArialMT" w:hAnsi="Arial" w:cs="Arial"/>
          <w:sz w:val="20"/>
          <w:szCs w:val="20"/>
        </w:rPr>
      </w:pPr>
      <w:r w:rsidRPr="009A1782">
        <w:rPr>
          <w:rFonts w:ascii="Arial" w:eastAsia="ArialMT" w:hAnsi="Arial" w:cs="Arial"/>
          <w:sz w:val="20"/>
          <w:szCs w:val="20"/>
        </w:rPr>
        <w:t xml:space="preserve">c) </w:t>
      </w:r>
      <w:r w:rsidRPr="009A1782">
        <w:rPr>
          <w:rFonts w:ascii="Arial" w:eastAsia="ArialMT" w:hAnsi="Arial" w:cs="Arial"/>
          <w:sz w:val="20"/>
          <w:szCs w:val="20"/>
        </w:rPr>
        <w:tab/>
      </w:r>
      <w:r w:rsidRPr="009A1782">
        <w:rPr>
          <w:rFonts w:ascii="Arial" w:eastAsia="ArialMT" w:hAnsi="Arial" w:cs="Arial"/>
          <w:b/>
          <w:bCs/>
          <w:sz w:val="20"/>
          <w:szCs w:val="20"/>
        </w:rPr>
        <w:t xml:space="preserve">Effective </w:t>
      </w:r>
      <w:r w:rsidRPr="009A1782">
        <w:rPr>
          <w:rFonts w:ascii="Arial" w:eastAsia="ArialMT" w:hAnsi="Arial" w:cs="Arial"/>
          <w:sz w:val="20"/>
          <w:szCs w:val="20"/>
        </w:rPr>
        <w:t>– deliverable over the plan period, and based on effective joint working on cross-boundary strategic matters that have been dealt with rather than deferred, as evidenced by the statement of common ground; and</w:t>
      </w:r>
    </w:p>
    <w:p w:rsidR="0059761D" w:rsidRPr="009A1782" w:rsidRDefault="0059761D" w:rsidP="006B3A81">
      <w:pPr>
        <w:autoSpaceDE w:val="0"/>
        <w:autoSpaceDN w:val="0"/>
        <w:adjustRightInd w:val="0"/>
        <w:spacing w:before="60"/>
        <w:ind w:left="426"/>
        <w:rPr>
          <w:rFonts w:ascii="Arial" w:eastAsia="ArialMT" w:hAnsi="Arial" w:cs="Arial"/>
          <w:sz w:val="20"/>
          <w:szCs w:val="20"/>
        </w:rPr>
      </w:pPr>
      <w:r w:rsidRPr="009A1782">
        <w:rPr>
          <w:rFonts w:ascii="Arial" w:eastAsia="ArialMT" w:hAnsi="Arial" w:cs="Arial"/>
          <w:sz w:val="20"/>
          <w:szCs w:val="20"/>
        </w:rPr>
        <w:t xml:space="preserve">d) </w:t>
      </w:r>
      <w:r w:rsidRPr="009A1782">
        <w:rPr>
          <w:rFonts w:ascii="Arial" w:eastAsia="ArialMT" w:hAnsi="Arial" w:cs="Arial"/>
          <w:sz w:val="20"/>
          <w:szCs w:val="20"/>
        </w:rPr>
        <w:tab/>
      </w:r>
      <w:r w:rsidRPr="009A1782">
        <w:rPr>
          <w:rFonts w:ascii="Arial" w:eastAsia="ArialMT" w:hAnsi="Arial" w:cs="Arial"/>
          <w:b/>
          <w:bCs/>
          <w:sz w:val="20"/>
          <w:szCs w:val="20"/>
        </w:rPr>
        <w:t xml:space="preserve">Consistent with national policy </w:t>
      </w:r>
      <w:r w:rsidRPr="009A1782">
        <w:rPr>
          <w:rFonts w:ascii="Arial" w:eastAsia="ArialMT" w:hAnsi="Arial" w:cs="Arial"/>
          <w:sz w:val="20"/>
          <w:szCs w:val="20"/>
        </w:rPr>
        <w:t>– enabling the delivery of sustainable development in accordance with the policies in this Framework.</w:t>
      </w:r>
    </w:p>
    <w:p w:rsidR="009A1782" w:rsidRPr="009A1782" w:rsidRDefault="009A1782" w:rsidP="006B3A81">
      <w:pPr>
        <w:tabs>
          <w:tab w:val="left" w:pos="851"/>
        </w:tabs>
        <w:autoSpaceDE w:val="0"/>
        <w:autoSpaceDN w:val="0"/>
        <w:adjustRightInd w:val="0"/>
        <w:spacing w:before="60"/>
        <w:ind w:left="426"/>
        <w:rPr>
          <w:rFonts w:ascii="Arial" w:eastAsia="ArialMT" w:hAnsi="Arial" w:cs="Arial"/>
          <w:sz w:val="20"/>
          <w:szCs w:val="20"/>
        </w:rPr>
      </w:pPr>
      <w:r w:rsidRPr="009A1782">
        <w:rPr>
          <w:rFonts w:ascii="Arial" w:eastAsia="ArialMT" w:hAnsi="Arial" w:cs="Arial"/>
          <w:sz w:val="20"/>
          <w:szCs w:val="20"/>
        </w:rPr>
        <w:t xml:space="preserve">36. </w:t>
      </w:r>
      <w:r w:rsidR="006B3A81">
        <w:rPr>
          <w:rFonts w:ascii="Arial" w:eastAsia="ArialMT" w:hAnsi="Arial" w:cs="Arial"/>
          <w:sz w:val="20"/>
          <w:szCs w:val="20"/>
        </w:rPr>
        <w:tab/>
      </w:r>
      <w:r w:rsidRPr="009A1782">
        <w:rPr>
          <w:rFonts w:ascii="Arial" w:eastAsia="ArialMT" w:hAnsi="Arial" w:cs="Arial"/>
          <w:sz w:val="20"/>
          <w:szCs w:val="20"/>
        </w:rPr>
        <w:t>These tests of soundness will be applied to non-strategic policies in a proportionate way, taking into account the extent to which they are consistent with relevant strategic policies for the area.</w:t>
      </w:r>
    </w:p>
    <w:p w:rsidR="00AE4531" w:rsidRPr="003D1946" w:rsidRDefault="0059761D" w:rsidP="006B3A81">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We a</w:t>
      </w:r>
      <w:r w:rsidR="00D13574">
        <w:rPr>
          <w:rFonts w:asciiTheme="minorHAnsi" w:hAnsiTheme="minorHAnsi" w:cstheme="minorHAnsi"/>
          <w:lang w:eastAsia="en-GB"/>
        </w:rPr>
        <w:t xml:space="preserve">re aware that, at Examination in Public, Inspectors </w:t>
      </w:r>
      <w:r w:rsidR="00627F25">
        <w:rPr>
          <w:rFonts w:asciiTheme="minorHAnsi" w:hAnsiTheme="minorHAnsi" w:cstheme="minorHAnsi"/>
          <w:lang w:eastAsia="en-GB"/>
        </w:rPr>
        <w:t>h</w:t>
      </w:r>
      <w:r w:rsidR="00B5210F">
        <w:rPr>
          <w:rFonts w:asciiTheme="minorHAnsi" w:hAnsiTheme="minorHAnsi" w:cstheme="minorHAnsi"/>
          <w:lang w:eastAsia="en-GB"/>
        </w:rPr>
        <w:t>ave to apply this</w:t>
      </w:r>
      <w:r w:rsidR="00627F25">
        <w:rPr>
          <w:rFonts w:asciiTheme="minorHAnsi" w:hAnsiTheme="minorHAnsi" w:cstheme="minorHAnsi"/>
          <w:lang w:eastAsia="en-GB"/>
        </w:rPr>
        <w:t xml:space="preserve"> statutory focus</w:t>
      </w:r>
      <w:r w:rsidR="00D13574">
        <w:rPr>
          <w:rFonts w:asciiTheme="minorHAnsi" w:hAnsiTheme="minorHAnsi" w:cstheme="minorHAnsi"/>
          <w:lang w:eastAsia="en-GB"/>
        </w:rPr>
        <w:t xml:space="preserve">, but we think </w:t>
      </w:r>
      <w:r w:rsidR="00A83A22">
        <w:rPr>
          <w:rFonts w:asciiTheme="minorHAnsi" w:hAnsiTheme="minorHAnsi" w:cstheme="minorHAnsi"/>
          <w:lang w:eastAsia="en-GB"/>
        </w:rPr>
        <w:t xml:space="preserve">there is merit also in laying out </w:t>
      </w:r>
      <w:r w:rsidR="00627F25">
        <w:rPr>
          <w:rFonts w:asciiTheme="minorHAnsi" w:hAnsiTheme="minorHAnsi" w:cstheme="minorHAnsi"/>
          <w:lang w:eastAsia="en-GB"/>
        </w:rPr>
        <w:t>some</w:t>
      </w:r>
      <w:r w:rsidR="00D13574">
        <w:rPr>
          <w:rFonts w:asciiTheme="minorHAnsi" w:hAnsiTheme="minorHAnsi" w:cstheme="minorHAnsi"/>
          <w:lang w:eastAsia="en-GB"/>
        </w:rPr>
        <w:t xml:space="preserve"> </w:t>
      </w:r>
      <w:r w:rsidR="00A83A22">
        <w:rPr>
          <w:rFonts w:asciiTheme="minorHAnsi" w:hAnsiTheme="minorHAnsi" w:cstheme="minorHAnsi"/>
          <w:lang w:eastAsia="en-GB"/>
        </w:rPr>
        <w:t xml:space="preserve">related </w:t>
      </w:r>
      <w:r w:rsidR="00D13574">
        <w:rPr>
          <w:rFonts w:asciiTheme="minorHAnsi" w:hAnsiTheme="minorHAnsi" w:cstheme="minorHAnsi"/>
          <w:lang w:eastAsia="en-GB"/>
        </w:rPr>
        <w:t xml:space="preserve">facts.  </w:t>
      </w:r>
      <w:r w:rsidR="00BE505F">
        <w:rPr>
          <w:rFonts w:asciiTheme="minorHAnsi" w:hAnsiTheme="minorHAnsi" w:cstheme="minorHAnsi"/>
          <w:lang w:eastAsia="en-GB"/>
        </w:rPr>
        <w:t xml:space="preserve">As well as believing that the plan </w:t>
      </w:r>
      <w:r>
        <w:rPr>
          <w:rFonts w:asciiTheme="minorHAnsi" w:hAnsiTheme="minorHAnsi" w:cstheme="minorHAnsi"/>
          <w:lang w:eastAsia="en-GB"/>
        </w:rPr>
        <w:t>is incompatible with climate change goals</w:t>
      </w:r>
      <w:r w:rsidR="00BE505F">
        <w:rPr>
          <w:rFonts w:asciiTheme="minorHAnsi" w:hAnsiTheme="minorHAnsi" w:cstheme="minorHAnsi"/>
          <w:lang w:eastAsia="en-GB"/>
        </w:rPr>
        <w:t>, there are other elements within it where evidence is in conflict</w:t>
      </w:r>
      <w:r w:rsidR="00A23568">
        <w:rPr>
          <w:rFonts w:asciiTheme="minorHAnsi" w:hAnsiTheme="minorHAnsi" w:cstheme="minorHAnsi"/>
          <w:lang w:eastAsia="en-GB"/>
        </w:rPr>
        <w:t>.</w:t>
      </w:r>
      <w:r w:rsidR="009A1782">
        <w:rPr>
          <w:rFonts w:asciiTheme="minorHAnsi" w:hAnsiTheme="minorHAnsi" w:cstheme="minorHAnsi"/>
          <w:lang w:eastAsia="en-GB"/>
        </w:rPr>
        <w:t xml:space="preserve">  </w:t>
      </w:r>
      <w:r w:rsidR="00BE505F">
        <w:rPr>
          <w:rFonts w:asciiTheme="minorHAnsi" w:hAnsiTheme="minorHAnsi" w:cstheme="minorHAnsi"/>
          <w:lang w:eastAsia="en-GB"/>
        </w:rPr>
        <w:t>Several</w:t>
      </w:r>
      <w:r w:rsidR="003B61C6">
        <w:rPr>
          <w:rFonts w:asciiTheme="minorHAnsi" w:hAnsiTheme="minorHAnsi" w:cstheme="minorHAnsi"/>
          <w:lang w:eastAsia="en-GB"/>
        </w:rPr>
        <w:t xml:space="preserve"> of the policies </w:t>
      </w:r>
      <w:r w:rsidR="00627F25">
        <w:rPr>
          <w:rFonts w:asciiTheme="minorHAnsi" w:hAnsiTheme="minorHAnsi" w:cstheme="minorHAnsi"/>
          <w:lang w:eastAsia="en-GB"/>
        </w:rPr>
        <w:t>are</w:t>
      </w:r>
      <w:r w:rsidR="003B61C6">
        <w:rPr>
          <w:rFonts w:asciiTheme="minorHAnsi" w:hAnsiTheme="minorHAnsi" w:cstheme="minorHAnsi"/>
          <w:lang w:eastAsia="en-GB"/>
        </w:rPr>
        <w:t xml:space="preserve"> therefore </w:t>
      </w:r>
      <w:r w:rsidR="00627F25">
        <w:rPr>
          <w:rFonts w:asciiTheme="minorHAnsi" w:hAnsiTheme="minorHAnsi" w:cstheme="minorHAnsi"/>
          <w:lang w:eastAsia="en-GB"/>
        </w:rPr>
        <w:t>not</w:t>
      </w:r>
      <w:r w:rsidR="003B61C6">
        <w:rPr>
          <w:rFonts w:asciiTheme="minorHAnsi" w:hAnsiTheme="minorHAnsi" w:cstheme="minorHAnsi"/>
          <w:lang w:eastAsia="en-GB"/>
        </w:rPr>
        <w:t xml:space="preserve"> ‘justified’ by </w:t>
      </w:r>
      <w:r w:rsidR="00627F25">
        <w:rPr>
          <w:rFonts w:asciiTheme="minorHAnsi" w:hAnsiTheme="minorHAnsi" w:cstheme="minorHAnsi"/>
          <w:lang w:eastAsia="en-GB"/>
        </w:rPr>
        <w:t>proportionate</w:t>
      </w:r>
      <w:r w:rsidR="003B61C6">
        <w:rPr>
          <w:rFonts w:asciiTheme="minorHAnsi" w:hAnsiTheme="minorHAnsi" w:cstheme="minorHAnsi"/>
          <w:lang w:eastAsia="en-GB"/>
        </w:rPr>
        <w:t xml:space="preserve"> evidence.</w:t>
      </w:r>
    </w:p>
    <w:p w:rsidR="00BE505F" w:rsidRDefault="0071171F"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sidRPr="00BE505F">
        <w:rPr>
          <w:rFonts w:asciiTheme="minorHAnsi" w:hAnsiTheme="minorHAnsi" w:cstheme="minorHAnsi"/>
          <w:lang w:eastAsia="en-GB"/>
        </w:rPr>
        <w:lastRenderedPageBreak/>
        <w:t>We do endorse many of the policies within the Plan</w:t>
      </w:r>
      <w:r w:rsidR="003D1946" w:rsidRPr="00BE505F">
        <w:rPr>
          <w:rFonts w:asciiTheme="minorHAnsi" w:hAnsiTheme="minorHAnsi" w:cstheme="minorHAnsi"/>
          <w:lang w:eastAsia="en-GB"/>
        </w:rPr>
        <w:t xml:space="preserve">, </w:t>
      </w:r>
      <w:r w:rsidR="00627F25" w:rsidRPr="00BE505F">
        <w:rPr>
          <w:rFonts w:asciiTheme="minorHAnsi" w:hAnsiTheme="minorHAnsi" w:cstheme="minorHAnsi"/>
          <w:lang w:eastAsia="en-GB"/>
        </w:rPr>
        <w:t xml:space="preserve">but in this submission we necessarily concentrate on the policies that we </w:t>
      </w:r>
      <w:r w:rsidR="007453B6">
        <w:rPr>
          <w:rFonts w:asciiTheme="minorHAnsi" w:hAnsiTheme="minorHAnsi" w:cstheme="minorHAnsi"/>
          <w:lang w:eastAsia="en-GB"/>
        </w:rPr>
        <w:t>consider to be unsound</w:t>
      </w:r>
      <w:r w:rsidR="00BE505F">
        <w:rPr>
          <w:rFonts w:asciiTheme="minorHAnsi" w:hAnsiTheme="minorHAnsi" w:cstheme="minorHAnsi"/>
          <w:lang w:eastAsia="en-GB"/>
        </w:rPr>
        <w:t>.</w:t>
      </w:r>
    </w:p>
    <w:p w:rsidR="001D5D00" w:rsidRPr="00BE505F" w:rsidRDefault="0071171F"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sidRPr="00BE505F">
        <w:rPr>
          <w:rFonts w:asciiTheme="minorHAnsi" w:hAnsiTheme="minorHAnsi" w:cstheme="minorHAnsi"/>
          <w:lang w:eastAsia="en-GB"/>
        </w:rPr>
        <w:t xml:space="preserve">We recognise the huge effort made by the limited number of officers involved, particularly </w:t>
      </w:r>
      <w:r w:rsidR="00B3267A" w:rsidRPr="00BE505F">
        <w:rPr>
          <w:rFonts w:asciiTheme="minorHAnsi" w:hAnsiTheme="minorHAnsi" w:cstheme="minorHAnsi"/>
          <w:lang w:eastAsia="en-GB"/>
        </w:rPr>
        <w:t>under</w:t>
      </w:r>
      <w:r w:rsidRPr="00BE505F">
        <w:rPr>
          <w:rFonts w:asciiTheme="minorHAnsi" w:hAnsiTheme="minorHAnsi" w:cstheme="minorHAnsi"/>
          <w:lang w:eastAsia="en-GB"/>
        </w:rPr>
        <w:t xml:space="preserve"> the Covid19 restrictions, although there </w:t>
      </w:r>
      <w:r w:rsidR="00627F25" w:rsidRPr="00BE505F">
        <w:rPr>
          <w:rFonts w:asciiTheme="minorHAnsi" w:hAnsiTheme="minorHAnsi" w:cstheme="minorHAnsi"/>
          <w:lang w:eastAsia="en-GB"/>
        </w:rPr>
        <w:t>a</w:t>
      </w:r>
      <w:r w:rsidRPr="00BE505F">
        <w:rPr>
          <w:rFonts w:asciiTheme="minorHAnsi" w:hAnsiTheme="minorHAnsi" w:cstheme="minorHAnsi"/>
          <w:lang w:eastAsia="en-GB"/>
        </w:rPr>
        <w:t xml:space="preserve">re signs that </w:t>
      </w:r>
      <w:r w:rsidR="00627F25" w:rsidRPr="00BE505F">
        <w:rPr>
          <w:rFonts w:asciiTheme="minorHAnsi" w:hAnsiTheme="minorHAnsi" w:cstheme="minorHAnsi"/>
          <w:lang w:eastAsia="en-GB"/>
        </w:rPr>
        <w:t xml:space="preserve">some </w:t>
      </w:r>
      <w:r w:rsidR="00B3267A" w:rsidRPr="00BE505F">
        <w:rPr>
          <w:rFonts w:asciiTheme="minorHAnsi" w:hAnsiTheme="minorHAnsi" w:cstheme="minorHAnsi"/>
          <w:lang w:eastAsia="en-GB"/>
        </w:rPr>
        <w:t xml:space="preserve">parts of the </w:t>
      </w:r>
      <w:r w:rsidR="00627F25" w:rsidRPr="00BE505F">
        <w:rPr>
          <w:rFonts w:asciiTheme="minorHAnsi" w:hAnsiTheme="minorHAnsi" w:cstheme="minorHAnsi"/>
          <w:lang w:eastAsia="en-GB"/>
        </w:rPr>
        <w:t>documentation</w:t>
      </w:r>
      <w:r w:rsidR="00B3267A" w:rsidRPr="00BE505F">
        <w:rPr>
          <w:rFonts w:asciiTheme="minorHAnsi" w:hAnsiTheme="minorHAnsi" w:cstheme="minorHAnsi"/>
          <w:lang w:eastAsia="en-GB"/>
        </w:rPr>
        <w:t xml:space="preserve"> have</w:t>
      </w:r>
      <w:r w:rsidRPr="00BE505F">
        <w:rPr>
          <w:rFonts w:asciiTheme="minorHAnsi" w:hAnsiTheme="minorHAnsi" w:cstheme="minorHAnsi"/>
          <w:lang w:eastAsia="en-GB"/>
        </w:rPr>
        <w:t xml:space="preserve"> been hurriedly put toge</w:t>
      </w:r>
      <w:r w:rsidR="00B74D4D" w:rsidRPr="00BE505F">
        <w:rPr>
          <w:rFonts w:asciiTheme="minorHAnsi" w:hAnsiTheme="minorHAnsi" w:cstheme="minorHAnsi"/>
          <w:lang w:eastAsia="en-GB"/>
        </w:rPr>
        <w:t>ther and not properly checked.</w:t>
      </w:r>
    </w:p>
    <w:p w:rsidR="0071171F" w:rsidRPr="001D5D00" w:rsidRDefault="0071171F"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We </w:t>
      </w:r>
      <w:r w:rsidR="001D5D00">
        <w:rPr>
          <w:rFonts w:asciiTheme="minorHAnsi" w:hAnsiTheme="minorHAnsi" w:cstheme="minorHAnsi"/>
          <w:lang w:eastAsia="en-GB"/>
        </w:rPr>
        <w:t xml:space="preserve">now </w:t>
      </w:r>
      <w:r w:rsidR="0021349E">
        <w:rPr>
          <w:rFonts w:asciiTheme="minorHAnsi" w:hAnsiTheme="minorHAnsi" w:cstheme="minorHAnsi"/>
          <w:lang w:eastAsia="en-GB"/>
        </w:rPr>
        <w:t>elaborate further</w:t>
      </w:r>
      <w:r>
        <w:rPr>
          <w:rFonts w:asciiTheme="minorHAnsi" w:hAnsiTheme="minorHAnsi" w:cstheme="minorHAnsi"/>
          <w:lang w:eastAsia="en-GB"/>
        </w:rPr>
        <w:t>.</w:t>
      </w:r>
      <w:r w:rsidR="000F0E38">
        <w:rPr>
          <w:rFonts w:asciiTheme="minorHAnsi" w:hAnsiTheme="minorHAnsi" w:cstheme="minorHAnsi"/>
          <w:lang w:eastAsia="en-GB"/>
        </w:rPr>
        <w:t xml:space="preserve">  We begin with matters affecting the whole plan, namely Consultation and Sustainability</w:t>
      </w:r>
      <w:r w:rsidR="00E56E88">
        <w:rPr>
          <w:rFonts w:asciiTheme="minorHAnsi" w:hAnsiTheme="minorHAnsi" w:cstheme="minorHAnsi"/>
          <w:lang w:eastAsia="en-GB"/>
        </w:rPr>
        <w:t>,</w:t>
      </w:r>
      <w:r w:rsidR="000F0E38">
        <w:rPr>
          <w:rFonts w:asciiTheme="minorHAnsi" w:hAnsiTheme="minorHAnsi" w:cstheme="minorHAnsi"/>
          <w:lang w:eastAsia="en-GB"/>
        </w:rPr>
        <w:t xml:space="preserve"> but the core of our objection to the plan revolves around policy SP2: Strategic Approach.</w:t>
      </w:r>
      <w:r w:rsidR="001D5D00">
        <w:rPr>
          <w:rFonts w:asciiTheme="minorHAnsi" w:hAnsiTheme="minorHAnsi" w:cstheme="minorHAnsi"/>
          <w:lang w:eastAsia="en-GB"/>
        </w:rPr>
        <w:br w:type="page"/>
      </w:r>
    </w:p>
    <w:p w:rsidR="00B3267A" w:rsidRPr="00B3267A" w:rsidRDefault="00B3267A" w:rsidP="003901F7">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1" w:name="_Toc65242888"/>
      <w:r>
        <w:rPr>
          <w:rFonts w:asciiTheme="minorHAnsi" w:hAnsiTheme="minorHAnsi" w:cstheme="minorHAnsi"/>
          <w:b/>
          <w:color w:val="0070C0"/>
          <w:sz w:val="36"/>
          <w:szCs w:val="36"/>
          <w:lang w:eastAsia="en-GB"/>
        </w:rPr>
        <w:lastRenderedPageBreak/>
        <w:t>Consultation</w:t>
      </w:r>
      <w:bookmarkEnd w:id="1"/>
    </w:p>
    <w:p w:rsidR="001251D0" w:rsidRPr="00FE2663" w:rsidRDefault="001251D0" w:rsidP="001251D0">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1251D0" w:rsidRPr="00FE2663" w:rsidRDefault="001251D0" w:rsidP="001251D0">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1251D0" w:rsidRPr="00A17498" w:rsidTr="001D3202">
        <w:trPr>
          <w:trHeight w:val="283"/>
        </w:trPr>
        <w:tc>
          <w:tcPr>
            <w:tcW w:w="567" w:type="dxa"/>
            <w:tcBorders>
              <w:right w:val="single" w:sz="4" w:space="0" w:color="auto"/>
            </w:tcBorders>
            <w:vAlign w:val="center"/>
          </w:tcPr>
          <w:p w:rsidR="001251D0" w:rsidRPr="00A17498" w:rsidRDefault="001251D0" w:rsidP="001D3202">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c>
          <w:tcPr>
            <w:tcW w:w="9214" w:type="dxa"/>
            <w:tcBorders>
              <w:top w:val="nil"/>
              <w:left w:val="single" w:sz="4" w:space="0" w:color="auto"/>
              <w:bottom w:val="nil"/>
              <w:right w:val="nil"/>
            </w:tcBorders>
            <w:vAlign w:val="center"/>
          </w:tcPr>
          <w:p w:rsidR="001251D0" w:rsidRPr="001251D0" w:rsidRDefault="001251D0" w:rsidP="001D3202">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1251D0" w:rsidRPr="00A17498" w:rsidRDefault="001251D0" w:rsidP="001251D0">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1251D0" w:rsidRPr="00A17498" w:rsidTr="001D3202">
        <w:trPr>
          <w:trHeight w:val="283"/>
        </w:trPr>
        <w:tc>
          <w:tcPr>
            <w:tcW w:w="1134" w:type="dxa"/>
            <w:tcBorders>
              <w:top w:val="nil"/>
              <w:left w:val="nil"/>
              <w:bottom w:val="nil"/>
              <w:right w:val="single" w:sz="4" w:space="0" w:color="auto"/>
            </w:tcBorders>
            <w:vAlign w:val="center"/>
          </w:tcPr>
          <w:p w:rsidR="001251D0" w:rsidRPr="00A17498" w:rsidRDefault="001251D0" w:rsidP="001D3202">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1251D0" w:rsidRPr="00A17498" w:rsidRDefault="001251D0" w:rsidP="001D3202">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1251D0" w:rsidRPr="00A17498" w:rsidRDefault="001251D0" w:rsidP="001D3202">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1251D0" w:rsidRPr="00A17498" w:rsidRDefault="00487140" w:rsidP="001D3202">
            <w:pPr>
              <w:pStyle w:val="BodyText"/>
              <w:spacing w:after="0"/>
              <w:rPr>
                <w:rFonts w:asciiTheme="minorHAnsi" w:hAnsiTheme="minorHAnsi" w:cstheme="minorHAnsi"/>
              </w:rPr>
            </w:pPr>
            <w:r>
              <w:rPr>
                <w:rFonts w:asciiTheme="minorHAnsi" w:hAnsiTheme="minorHAnsi" w:cstheme="minorHAnsi"/>
              </w:rPr>
              <w:t>Whole Draft Plan</w:t>
            </w:r>
            <w:r w:rsidR="00DA337E">
              <w:rPr>
                <w:rFonts w:asciiTheme="minorHAnsi" w:hAnsiTheme="minorHAnsi" w:cstheme="minorHAnsi"/>
              </w:rPr>
              <w:t xml:space="preserve"> particularly SP2</w:t>
            </w:r>
          </w:p>
        </w:tc>
      </w:tr>
    </w:tbl>
    <w:p w:rsidR="001251D0" w:rsidRPr="00A17498" w:rsidRDefault="001251D0" w:rsidP="001251D0">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1251D0" w:rsidTr="001D3202">
        <w:trPr>
          <w:trHeight w:val="283"/>
        </w:trPr>
        <w:tc>
          <w:tcPr>
            <w:tcW w:w="4820" w:type="dxa"/>
            <w:tcBorders>
              <w:top w:val="nil"/>
              <w:left w:val="nil"/>
              <w:bottom w:val="nil"/>
              <w:right w:val="nil"/>
            </w:tcBorders>
            <w:vAlign w:val="center"/>
          </w:tcPr>
          <w:p w:rsidR="001251D0" w:rsidRPr="00882F68" w:rsidRDefault="001251D0" w:rsidP="001D3202">
            <w:pPr>
              <w:rPr>
                <w:rFonts w:ascii="Verdana" w:eastAsiaTheme="minorHAnsi" w:hAnsi="Verdana" w:cs="Verdana"/>
                <w:color w:val="000000"/>
                <w:sz w:val="20"/>
                <w:szCs w:val="20"/>
              </w:rPr>
            </w:pPr>
            <w:r w:rsidRPr="00882F68">
              <w:rPr>
                <w:rFonts w:ascii="Verdana" w:eastAsiaTheme="minorHAnsi" w:hAnsi="Verdana" w:cs="Verdana"/>
                <w:color w:val="000000"/>
                <w:sz w:val="20"/>
                <w:szCs w:val="20"/>
              </w:rPr>
              <w:t>A. Legally compliant</w:t>
            </w:r>
          </w:p>
        </w:tc>
        <w:tc>
          <w:tcPr>
            <w:tcW w:w="1275" w:type="dxa"/>
            <w:tcBorders>
              <w:top w:val="nil"/>
              <w:left w:val="nil"/>
              <w:bottom w:val="nil"/>
              <w:right w:val="single" w:sz="4" w:space="0" w:color="auto"/>
            </w:tcBorders>
            <w:vAlign w:val="center"/>
          </w:tcPr>
          <w:p w:rsidR="001251D0" w:rsidRDefault="001251D0" w:rsidP="00CD44CB">
            <w:pPr>
              <w:rPr>
                <w:sz w:val="20"/>
              </w:rPr>
            </w:pPr>
            <w:r w:rsidRPr="00CD44CB">
              <w:rPr>
                <w:rFonts w:ascii="Verdana" w:eastAsiaTheme="minorHAnsi" w:hAnsi="Verdana" w:cs="Verdana"/>
                <w:color w:val="000000"/>
                <w:sz w:val="20"/>
                <w:szCs w:val="20"/>
              </w:rPr>
              <w:t>Yes:</w:t>
            </w:r>
          </w:p>
        </w:tc>
        <w:tc>
          <w:tcPr>
            <w:tcW w:w="567" w:type="dxa"/>
            <w:tcBorders>
              <w:left w:val="single" w:sz="4" w:space="0" w:color="auto"/>
              <w:right w:val="single" w:sz="4" w:space="0" w:color="auto"/>
            </w:tcBorders>
            <w:vAlign w:val="center"/>
          </w:tcPr>
          <w:p w:rsidR="001251D0" w:rsidRPr="00A17498" w:rsidRDefault="001251D0" w:rsidP="001D3202">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1251D0" w:rsidRDefault="001251D0" w:rsidP="001D3202">
            <w:pPr>
              <w:pStyle w:val="TableParagraph"/>
              <w:rPr>
                <w:sz w:val="20"/>
              </w:rPr>
            </w:pPr>
            <w:r>
              <w:rPr>
                <w:sz w:val="20"/>
              </w:rPr>
              <w:t>No:</w:t>
            </w:r>
          </w:p>
        </w:tc>
        <w:tc>
          <w:tcPr>
            <w:tcW w:w="567" w:type="dxa"/>
            <w:tcBorders>
              <w:left w:val="single" w:sz="4" w:space="0" w:color="auto"/>
            </w:tcBorders>
            <w:vAlign w:val="center"/>
          </w:tcPr>
          <w:p w:rsidR="001251D0" w:rsidRPr="00A17498" w:rsidRDefault="00897145" w:rsidP="001D3202">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r>
      <w:tr w:rsidR="001251D0" w:rsidTr="001D3202">
        <w:trPr>
          <w:trHeight w:val="283"/>
        </w:trPr>
        <w:tc>
          <w:tcPr>
            <w:tcW w:w="4820" w:type="dxa"/>
            <w:tcBorders>
              <w:top w:val="nil"/>
              <w:left w:val="nil"/>
              <w:bottom w:val="nil"/>
              <w:right w:val="nil"/>
            </w:tcBorders>
            <w:vAlign w:val="center"/>
          </w:tcPr>
          <w:p w:rsidR="001251D0" w:rsidRPr="00882F68" w:rsidRDefault="001251D0" w:rsidP="001D3202">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1251D0" w:rsidRDefault="001251D0" w:rsidP="001D3202">
            <w:pPr>
              <w:pStyle w:val="TableParagraph"/>
              <w:spacing w:before="42"/>
              <w:rPr>
                <w:sz w:val="20"/>
              </w:rPr>
            </w:pPr>
            <w:r w:rsidRPr="00CD44CB">
              <w:rPr>
                <w:rFonts w:ascii="Verdana" w:eastAsiaTheme="minorHAnsi" w:hAnsi="Verdana" w:cs="Verdana"/>
                <w:color w:val="000000"/>
                <w:sz w:val="20"/>
                <w:szCs w:val="20"/>
                <w:lang w:val="en-GB"/>
              </w:rPr>
              <w:t>Yes</w:t>
            </w:r>
            <w:r>
              <w:rPr>
                <w:sz w:val="20"/>
              </w:rPr>
              <w:t>:</w:t>
            </w:r>
          </w:p>
        </w:tc>
        <w:tc>
          <w:tcPr>
            <w:tcW w:w="567" w:type="dxa"/>
            <w:tcBorders>
              <w:left w:val="single" w:sz="4" w:space="0" w:color="auto"/>
              <w:right w:val="single" w:sz="4" w:space="0" w:color="auto"/>
            </w:tcBorders>
            <w:vAlign w:val="center"/>
          </w:tcPr>
          <w:p w:rsidR="001251D0" w:rsidRPr="00A17498" w:rsidRDefault="001251D0" w:rsidP="001D3202">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1251D0" w:rsidRDefault="001251D0" w:rsidP="001D3202">
            <w:pPr>
              <w:pStyle w:val="TableParagraph"/>
              <w:spacing w:before="42"/>
              <w:rPr>
                <w:sz w:val="20"/>
              </w:rPr>
            </w:pPr>
            <w:r>
              <w:rPr>
                <w:sz w:val="20"/>
              </w:rPr>
              <w:t>No:</w:t>
            </w:r>
          </w:p>
        </w:tc>
        <w:tc>
          <w:tcPr>
            <w:tcW w:w="567" w:type="dxa"/>
            <w:tcBorders>
              <w:left w:val="single" w:sz="4" w:space="0" w:color="auto"/>
            </w:tcBorders>
            <w:vAlign w:val="center"/>
          </w:tcPr>
          <w:p w:rsidR="001251D0" w:rsidRPr="00A17498" w:rsidRDefault="00897145" w:rsidP="001D3202">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r>
    </w:tbl>
    <w:p w:rsidR="00DA337E" w:rsidRPr="005307CB" w:rsidRDefault="00DA337E" w:rsidP="005307CB">
      <w:pPr>
        <w:pStyle w:val="Heading2"/>
        <w:spacing w:before="240" w:after="120"/>
        <w:rPr>
          <w:rFonts w:asciiTheme="minorHAnsi" w:eastAsiaTheme="minorHAnsi" w:hAnsiTheme="minorHAnsi" w:cstheme="minorHAnsi"/>
          <w:b/>
          <w:i/>
          <w:color w:val="0070C0"/>
          <w:sz w:val="28"/>
          <w:szCs w:val="28"/>
          <w:lang w:eastAsia="en-GB"/>
        </w:rPr>
      </w:pPr>
      <w:bookmarkStart w:id="2" w:name="_Toc65242889"/>
      <w:r w:rsidRPr="005307CB">
        <w:rPr>
          <w:rFonts w:asciiTheme="minorHAnsi" w:eastAsiaTheme="minorHAnsi" w:hAnsiTheme="minorHAnsi" w:cstheme="minorHAnsi"/>
          <w:b/>
          <w:i/>
          <w:color w:val="0070C0"/>
          <w:sz w:val="28"/>
          <w:szCs w:val="28"/>
          <w:lang w:eastAsia="en-GB"/>
        </w:rPr>
        <w:t>Details</w:t>
      </w:r>
      <w:bookmarkEnd w:id="2"/>
    </w:p>
    <w:p w:rsidR="00A83A22" w:rsidRDefault="00A83A22"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We submit, in summary, that consultation has not been carried out in conformity with:</w:t>
      </w:r>
    </w:p>
    <w:p w:rsidR="00E56E88" w:rsidRDefault="00E56E88" w:rsidP="002427CD">
      <w:pPr>
        <w:pStyle w:val="ListParagraph"/>
        <w:numPr>
          <w:ilvl w:val="0"/>
          <w:numId w:val="6"/>
        </w:numPr>
        <w:spacing w:after="60"/>
        <w:ind w:left="567" w:hanging="567"/>
        <w:contextualSpacing w:val="0"/>
        <w:textAlignment w:val="baseline"/>
        <w:rPr>
          <w:rFonts w:asciiTheme="minorHAnsi" w:hAnsiTheme="minorHAnsi" w:cstheme="minorHAnsi"/>
          <w:lang w:eastAsia="en-GB"/>
        </w:rPr>
      </w:pPr>
      <w:r>
        <w:rPr>
          <w:rFonts w:asciiTheme="minorHAnsi" w:hAnsiTheme="minorHAnsi" w:cstheme="minorHAnsi"/>
          <w:lang w:eastAsia="en-GB"/>
        </w:rPr>
        <w:t>an up-to-date and adopted Statement of Community Involvement (SCI), because such an SCI did not exist at the time of this consultation, and</w:t>
      </w:r>
    </w:p>
    <w:p w:rsidR="00E56E88" w:rsidRDefault="00E56E88" w:rsidP="002427CD">
      <w:pPr>
        <w:pStyle w:val="ListParagraph"/>
        <w:numPr>
          <w:ilvl w:val="0"/>
          <w:numId w:val="6"/>
        </w:numPr>
        <w:spacing w:after="60"/>
        <w:ind w:left="567"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Gunning principles of consultation.</w:t>
      </w:r>
    </w:p>
    <w:p w:rsidR="00A83A22" w:rsidRPr="00A83A22" w:rsidRDefault="00A83A22" w:rsidP="00E56E88">
      <w:pPr>
        <w:spacing w:before="240"/>
        <w:rPr>
          <w:lang w:eastAsia="en-GB"/>
        </w:rPr>
      </w:pPr>
      <w:r w:rsidRPr="00A83A22">
        <w:rPr>
          <w:rFonts w:asciiTheme="minorHAnsi" w:eastAsiaTheme="minorHAnsi" w:hAnsiTheme="minorHAnsi" w:cstheme="minorHAnsi"/>
          <w:i/>
          <w:color w:val="0070C0"/>
          <w:lang w:eastAsia="en-GB"/>
        </w:rPr>
        <w:t>Statement of Community Involvement</w:t>
      </w:r>
    </w:p>
    <w:p w:rsidR="00FF4351" w:rsidRDefault="0021349E" w:rsidP="00E56E88">
      <w:pPr>
        <w:pStyle w:val="ListParagraph"/>
        <w:numPr>
          <w:ilvl w:val="1"/>
          <w:numId w:val="1"/>
        </w:numPr>
        <w:spacing w:before="12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Shropshire Council’s Statement of Community Involvement</w:t>
      </w:r>
      <w:r w:rsidR="00FF4351">
        <w:rPr>
          <w:rFonts w:asciiTheme="minorHAnsi" w:hAnsiTheme="minorHAnsi" w:cstheme="minorHAnsi"/>
          <w:lang w:eastAsia="en-GB"/>
        </w:rPr>
        <w:t>, dated 2011,</w:t>
      </w:r>
      <w:r>
        <w:rPr>
          <w:rFonts w:asciiTheme="minorHAnsi" w:hAnsiTheme="minorHAnsi" w:cstheme="minorHAnsi"/>
          <w:lang w:eastAsia="en-GB"/>
        </w:rPr>
        <w:t xml:space="preserve"> had become out of date</w:t>
      </w:r>
      <w:r w:rsidR="00FF4351">
        <w:rPr>
          <w:rFonts w:asciiTheme="minorHAnsi" w:hAnsiTheme="minorHAnsi" w:cstheme="minorHAnsi"/>
          <w:lang w:eastAsia="en-GB"/>
        </w:rPr>
        <w:t xml:space="preserve"> </w:t>
      </w:r>
      <w:r w:rsidR="00FF4351" w:rsidRPr="00FF4351">
        <w:rPr>
          <w:rFonts w:asciiTheme="minorHAnsi" w:hAnsiTheme="minorHAnsi" w:cstheme="minorHAnsi"/>
          <w:lang w:eastAsia="en-GB"/>
        </w:rPr>
        <w:t xml:space="preserve">from </w:t>
      </w:r>
      <w:r w:rsidR="00FA10D9">
        <w:rPr>
          <w:rFonts w:asciiTheme="minorHAnsi" w:hAnsiTheme="minorHAnsi" w:cstheme="minorHAnsi"/>
          <w:lang w:eastAsia="en-GB"/>
        </w:rPr>
        <w:t>6 April</w:t>
      </w:r>
      <w:r w:rsidR="00FF4351" w:rsidRPr="00FF4351">
        <w:rPr>
          <w:rFonts w:asciiTheme="minorHAnsi" w:hAnsiTheme="minorHAnsi" w:cstheme="minorHAnsi"/>
          <w:lang w:eastAsia="en-GB"/>
        </w:rPr>
        <w:t xml:space="preserve"> 2018 </w:t>
      </w:r>
      <w:r w:rsidR="00FF4351">
        <w:rPr>
          <w:rFonts w:asciiTheme="minorHAnsi" w:hAnsiTheme="minorHAnsi" w:cstheme="minorHAnsi"/>
          <w:lang w:eastAsia="en-GB"/>
        </w:rPr>
        <w:t xml:space="preserve">by virtue of regulation 10A of </w:t>
      </w:r>
      <w:r w:rsidR="00FF4351" w:rsidRPr="00FF4351">
        <w:rPr>
          <w:rFonts w:asciiTheme="minorHAnsi" w:hAnsiTheme="minorHAnsi" w:cstheme="minorHAnsi"/>
          <w:lang w:eastAsia="en-GB"/>
        </w:rPr>
        <w:t>TCP (Local Planning) (England) (Amendment) Regulations 2017/1244 requiring it to be reviewed.</w:t>
      </w:r>
      <w:r w:rsidR="00FF4351">
        <w:rPr>
          <w:rFonts w:asciiTheme="minorHAnsi" w:hAnsiTheme="minorHAnsi" w:cstheme="minorHAnsi"/>
          <w:lang w:eastAsia="en-GB"/>
        </w:rPr>
        <w:t xml:space="preserve">  In recognition of this a new draft has</w:t>
      </w:r>
      <w:r w:rsidR="000F0E38">
        <w:rPr>
          <w:rFonts w:asciiTheme="minorHAnsi" w:hAnsiTheme="minorHAnsi" w:cstheme="minorHAnsi"/>
          <w:lang w:eastAsia="en-GB"/>
        </w:rPr>
        <w:t xml:space="preserve"> been prepared by officers and wa</w:t>
      </w:r>
      <w:r w:rsidR="00FF4351">
        <w:rPr>
          <w:rFonts w:asciiTheme="minorHAnsi" w:hAnsiTheme="minorHAnsi" w:cstheme="minorHAnsi"/>
          <w:lang w:eastAsia="en-GB"/>
        </w:rPr>
        <w:t>s consulted on in paralle</w:t>
      </w:r>
      <w:r w:rsidR="006A0D7C">
        <w:rPr>
          <w:rFonts w:asciiTheme="minorHAnsi" w:hAnsiTheme="minorHAnsi" w:cstheme="minorHAnsi"/>
          <w:lang w:eastAsia="en-GB"/>
        </w:rPr>
        <w:t>l with the present Regulation 19</w:t>
      </w:r>
      <w:r w:rsidR="00FF4351">
        <w:rPr>
          <w:rFonts w:asciiTheme="minorHAnsi" w:hAnsiTheme="minorHAnsi" w:cstheme="minorHAnsi"/>
          <w:lang w:eastAsia="en-GB"/>
        </w:rPr>
        <w:t xml:space="preserve"> consultation.</w:t>
      </w:r>
      <w:r w:rsidR="003E3F5A">
        <w:rPr>
          <w:rFonts w:asciiTheme="minorHAnsi" w:hAnsiTheme="minorHAnsi" w:cstheme="minorHAnsi"/>
          <w:lang w:eastAsia="en-GB"/>
        </w:rPr>
        <w:t xml:space="preserve">  </w:t>
      </w:r>
      <w:r w:rsidR="00FF4351" w:rsidRPr="003E3F5A">
        <w:rPr>
          <w:rFonts w:asciiTheme="minorHAnsi" w:hAnsiTheme="minorHAnsi" w:cstheme="minorHAnsi"/>
          <w:lang w:eastAsia="en-GB"/>
        </w:rPr>
        <w:t>We include our response to this consultation as Appendix 1</w:t>
      </w:r>
      <w:r w:rsidR="003E3F5A">
        <w:rPr>
          <w:rFonts w:asciiTheme="minorHAnsi" w:hAnsiTheme="minorHAnsi" w:cstheme="minorHAnsi"/>
          <w:lang w:eastAsia="en-GB"/>
        </w:rPr>
        <w:t>.</w:t>
      </w:r>
    </w:p>
    <w:p w:rsidR="003E3F5A" w:rsidRDefault="003E3F5A" w:rsidP="00E56E8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summary on the last page of Appendix 1 includes the following </w:t>
      </w:r>
    </w:p>
    <w:p w:rsidR="003E3F5A" w:rsidRDefault="003E3F5A" w:rsidP="002427CD">
      <w:pPr>
        <w:pStyle w:val="ListParagraph"/>
        <w:numPr>
          <w:ilvl w:val="0"/>
          <w:numId w:val="7"/>
        </w:numPr>
        <w:spacing w:after="60"/>
        <w:ind w:left="567"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The update of the DSCI should have been carried out some time ago, rather than being left to the last minute in order to tie in with the statutory requirements connected with the Regulation 19 consultation on the Draft Plan.</w:t>
      </w:r>
    </w:p>
    <w:p w:rsidR="003E3F5A" w:rsidRPr="0024502B" w:rsidRDefault="003E3F5A" w:rsidP="002427CD">
      <w:pPr>
        <w:pStyle w:val="ListParagraph"/>
        <w:numPr>
          <w:ilvl w:val="0"/>
          <w:numId w:val="7"/>
        </w:numPr>
        <w:spacing w:after="60"/>
        <w:ind w:left="567"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 xml:space="preserve">The general principles of consultation in the Gunning principles and in the seven Criteria within </w:t>
      </w:r>
      <w:r w:rsidRPr="003E3F5A">
        <w:rPr>
          <w:rFonts w:asciiTheme="minorHAnsi" w:hAnsiTheme="minorHAnsi" w:cstheme="minorHAnsi"/>
          <w:color w:val="000000"/>
          <w:szCs w:val="24"/>
          <w:lang w:eastAsia="en-GB"/>
        </w:rPr>
        <w:t>Government’s own Code of Practice on Consultation should be spelt out within the DSCI.</w:t>
      </w:r>
    </w:p>
    <w:p w:rsidR="003E3F5A" w:rsidRPr="00714E28" w:rsidRDefault="003E3F5A" w:rsidP="002427CD">
      <w:pPr>
        <w:pStyle w:val="ListParagraph"/>
        <w:numPr>
          <w:ilvl w:val="0"/>
          <w:numId w:val="7"/>
        </w:numPr>
        <w:spacing w:after="60"/>
        <w:ind w:left="567"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 xml:space="preserve">Consultations should be for a minimum of 12 weeks, as recommended by Government.  </w:t>
      </w:r>
      <w:r w:rsidRPr="003E3F5A">
        <w:rPr>
          <w:rFonts w:asciiTheme="minorHAnsi" w:hAnsiTheme="minorHAnsi" w:cstheme="minorHAnsi"/>
          <w:color w:val="000000"/>
          <w:szCs w:val="24"/>
          <w:lang w:eastAsia="en-GB"/>
        </w:rPr>
        <w:t>Some Parish Councils do not meet often enough to be able to give due formal consideration to a consultation that is for only 6 weeks.</w:t>
      </w:r>
    </w:p>
    <w:p w:rsidR="003E3F5A" w:rsidRDefault="003E3F5A" w:rsidP="002427CD">
      <w:pPr>
        <w:pStyle w:val="ListParagraph"/>
        <w:numPr>
          <w:ilvl w:val="0"/>
          <w:numId w:val="7"/>
        </w:numPr>
        <w:spacing w:after="60"/>
        <w:ind w:left="567" w:hanging="567"/>
        <w:contextualSpacing w:val="0"/>
        <w:textAlignment w:val="baseline"/>
        <w:rPr>
          <w:rFonts w:asciiTheme="minorHAnsi" w:hAnsiTheme="minorHAnsi" w:cstheme="minorHAnsi"/>
          <w:color w:val="000000"/>
          <w:szCs w:val="24"/>
          <w:lang w:eastAsia="en-GB"/>
        </w:rPr>
      </w:pPr>
      <w:r w:rsidRPr="003E3F5A">
        <w:rPr>
          <w:rFonts w:asciiTheme="minorHAnsi" w:hAnsiTheme="minorHAnsi" w:cstheme="minorHAnsi"/>
          <w:color w:val="000000"/>
          <w:szCs w:val="24"/>
          <w:lang w:eastAsia="en-GB"/>
        </w:rPr>
        <w:t>Consultations should, as far as possible, avoid holiday periods, or be for a significantly extended period if they do straddle a holiday period.</w:t>
      </w:r>
    </w:p>
    <w:p w:rsidR="003E3F5A" w:rsidRDefault="003E3F5A" w:rsidP="002427CD">
      <w:pPr>
        <w:pStyle w:val="ListParagraph"/>
        <w:numPr>
          <w:ilvl w:val="0"/>
          <w:numId w:val="7"/>
        </w:numPr>
        <w:spacing w:after="60"/>
        <w:ind w:left="567"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If a direct choice between multiple options is offered in a consultation the Council should ensure that its policies reflect the results of the poll on those options.</w:t>
      </w:r>
    </w:p>
    <w:p w:rsidR="003E3F5A" w:rsidRDefault="003E3F5A" w:rsidP="002427CD">
      <w:pPr>
        <w:pStyle w:val="ListParagraph"/>
        <w:numPr>
          <w:ilvl w:val="0"/>
          <w:numId w:val="7"/>
        </w:numPr>
        <w:spacing w:after="60"/>
        <w:ind w:left="567"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Reports on consultations should explain how the Council has arrived at its conclusions from those consultations.</w:t>
      </w:r>
    </w:p>
    <w:p w:rsidR="00FA10D9" w:rsidRDefault="00FA10D9" w:rsidP="00FA10D9">
      <w:pPr>
        <w:pStyle w:val="ListParagraph"/>
        <w:spacing w:after="60"/>
        <w:ind w:left="567"/>
        <w:contextualSpacing w:val="0"/>
        <w:textAlignment w:val="baseline"/>
        <w:rPr>
          <w:rFonts w:asciiTheme="minorHAnsi" w:hAnsiTheme="minorHAnsi" w:cstheme="minorHAnsi"/>
          <w:color w:val="000000"/>
          <w:szCs w:val="24"/>
          <w:lang w:eastAsia="en-GB"/>
        </w:rPr>
      </w:pPr>
    </w:p>
    <w:p w:rsidR="006A0D7C" w:rsidRPr="006A0D7C" w:rsidRDefault="006A0D7C" w:rsidP="00E56E88">
      <w:pPr>
        <w:keepNext/>
        <w:spacing w:before="240"/>
        <w:rPr>
          <w:rFonts w:asciiTheme="minorHAnsi" w:eastAsiaTheme="minorHAnsi" w:hAnsiTheme="minorHAnsi" w:cstheme="minorHAnsi"/>
          <w:i/>
          <w:color w:val="0070C0"/>
          <w:lang w:eastAsia="en-GB"/>
        </w:rPr>
      </w:pPr>
      <w:r w:rsidRPr="006A0D7C">
        <w:rPr>
          <w:rFonts w:asciiTheme="minorHAnsi" w:eastAsiaTheme="minorHAnsi" w:hAnsiTheme="minorHAnsi" w:cstheme="minorHAnsi"/>
          <w:i/>
          <w:color w:val="0070C0"/>
          <w:lang w:eastAsia="en-GB"/>
        </w:rPr>
        <w:lastRenderedPageBreak/>
        <w:t>Gunning principles</w:t>
      </w:r>
    </w:p>
    <w:p w:rsidR="003640F1" w:rsidRPr="00EC4E3E" w:rsidRDefault="003640F1" w:rsidP="00646F5B">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Gunning principles </w:t>
      </w:r>
      <w:r w:rsidRPr="00EC4E3E">
        <w:rPr>
          <w:rFonts w:asciiTheme="minorHAnsi" w:hAnsiTheme="minorHAnsi" w:cstheme="minorHAnsi"/>
          <w:lang w:eastAsia="en-GB"/>
        </w:rPr>
        <w:t>are that:</w:t>
      </w:r>
    </w:p>
    <w:p w:rsidR="003640F1" w:rsidRPr="002D1FD7" w:rsidRDefault="003640F1" w:rsidP="002427CD">
      <w:pPr>
        <w:pStyle w:val="ListParagraph"/>
        <w:numPr>
          <w:ilvl w:val="0"/>
          <w:numId w:val="9"/>
        </w:numPr>
        <w:shd w:val="clear" w:color="auto" w:fill="FFFFFF"/>
        <w:spacing w:after="60"/>
        <w:ind w:left="567" w:hanging="567"/>
        <w:contextualSpacing w:val="0"/>
        <w:rPr>
          <w:rFonts w:asciiTheme="minorHAnsi" w:hAnsiTheme="minorHAnsi" w:cstheme="minorHAnsi"/>
          <w:lang w:eastAsia="en-GB"/>
        </w:rPr>
      </w:pPr>
      <w:r w:rsidRPr="002D1FD7">
        <w:rPr>
          <w:rFonts w:asciiTheme="minorHAnsi" w:hAnsiTheme="minorHAnsi" w:cstheme="minorHAnsi"/>
          <w:lang w:eastAsia="en-GB"/>
        </w:rPr>
        <w:t>Consultation must take place when the proposal is still at a formative stage</w:t>
      </w:r>
    </w:p>
    <w:p w:rsidR="003640F1" w:rsidRPr="00EC4E3E" w:rsidRDefault="003640F1" w:rsidP="002427CD">
      <w:pPr>
        <w:pStyle w:val="ListParagraph"/>
        <w:numPr>
          <w:ilvl w:val="0"/>
          <w:numId w:val="9"/>
        </w:numPr>
        <w:shd w:val="clear" w:color="auto" w:fill="FFFFFF"/>
        <w:spacing w:after="60"/>
        <w:ind w:left="567" w:hanging="567"/>
        <w:contextualSpacing w:val="0"/>
        <w:rPr>
          <w:rFonts w:asciiTheme="minorHAnsi" w:hAnsiTheme="minorHAnsi" w:cstheme="minorHAnsi"/>
          <w:lang w:eastAsia="en-GB"/>
        </w:rPr>
      </w:pPr>
      <w:r w:rsidRPr="00EC4E3E">
        <w:rPr>
          <w:rFonts w:asciiTheme="minorHAnsi" w:hAnsiTheme="minorHAnsi" w:cstheme="minorHAnsi"/>
          <w:lang w:eastAsia="en-GB"/>
        </w:rPr>
        <w:t>Sufficient reasons must be put forward for the proposal to allow for intelligent consideration and response</w:t>
      </w:r>
    </w:p>
    <w:p w:rsidR="003640F1" w:rsidRPr="00EC4E3E" w:rsidRDefault="003640F1" w:rsidP="002427CD">
      <w:pPr>
        <w:pStyle w:val="ListParagraph"/>
        <w:numPr>
          <w:ilvl w:val="0"/>
          <w:numId w:val="9"/>
        </w:numPr>
        <w:shd w:val="clear" w:color="auto" w:fill="FFFFFF"/>
        <w:spacing w:after="60"/>
        <w:ind w:left="567" w:hanging="567"/>
        <w:contextualSpacing w:val="0"/>
        <w:rPr>
          <w:rFonts w:asciiTheme="minorHAnsi" w:hAnsiTheme="minorHAnsi" w:cstheme="minorHAnsi"/>
          <w:lang w:eastAsia="en-GB"/>
        </w:rPr>
      </w:pPr>
      <w:r w:rsidRPr="00EC4E3E">
        <w:rPr>
          <w:rFonts w:asciiTheme="minorHAnsi" w:hAnsiTheme="minorHAnsi" w:cstheme="minorHAnsi"/>
          <w:lang w:eastAsia="en-GB"/>
        </w:rPr>
        <w:t>Adequate time must be given for consideration and response</w:t>
      </w:r>
    </w:p>
    <w:p w:rsidR="003640F1" w:rsidRPr="003640F1" w:rsidRDefault="003640F1" w:rsidP="002427CD">
      <w:pPr>
        <w:pStyle w:val="ListParagraph"/>
        <w:numPr>
          <w:ilvl w:val="0"/>
          <w:numId w:val="9"/>
        </w:numPr>
        <w:shd w:val="clear" w:color="auto" w:fill="FFFFFF"/>
        <w:spacing w:after="60"/>
        <w:ind w:left="567" w:hanging="567"/>
        <w:contextualSpacing w:val="0"/>
        <w:rPr>
          <w:rFonts w:asciiTheme="minorHAnsi" w:hAnsiTheme="minorHAnsi" w:cstheme="minorHAnsi"/>
          <w:lang w:eastAsia="en-GB"/>
        </w:rPr>
      </w:pPr>
      <w:r w:rsidRPr="00EC4E3E">
        <w:rPr>
          <w:rFonts w:asciiTheme="minorHAnsi" w:hAnsiTheme="minorHAnsi" w:cstheme="minorHAnsi"/>
          <w:lang w:eastAsia="en-GB"/>
        </w:rPr>
        <w:t>The product of consultation must be conscientiously taken into account</w:t>
      </w:r>
    </w:p>
    <w:p w:rsidR="00B3267A" w:rsidRDefault="00B3267A" w:rsidP="00646F5B">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Our analysis of consultation responses from the first two consultations showed that people and Town &amp; Parish Councils were overwhelmingly against the high targets; it is only developers a</w:t>
      </w:r>
      <w:r w:rsidR="000F0E38">
        <w:rPr>
          <w:rFonts w:asciiTheme="minorHAnsi" w:hAnsiTheme="minorHAnsi" w:cstheme="minorHAnsi"/>
          <w:lang w:eastAsia="en-GB"/>
        </w:rPr>
        <w:t>nd the council itself that want</w:t>
      </w:r>
      <w:r>
        <w:rPr>
          <w:rFonts w:asciiTheme="minorHAnsi" w:hAnsiTheme="minorHAnsi" w:cstheme="minorHAnsi"/>
          <w:lang w:eastAsia="en-GB"/>
        </w:rPr>
        <w:t xml:space="preserve"> them</w:t>
      </w:r>
      <w:r w:rsidR="003640F1">
        <w:rPr>
          <w:rStyle w:val="FootnoteReference"/>
          <w:rFonts w:asciiTheme="minorHAnsi" w:hAnsiTheme="minorHAnsi" w:cstheme="minorHAnsi"/>
          <w:lang w:eastAsia="en-GB"/>
        </w:rPr>
        <w:footnoteReference w:id="1"/>
      </w:r>
      <w:r>
        <w:rPr>
          <w:rFonts w:asciiTheme="minorHAnsi" w:hAnsiTheme="minorHAnsi" w:cstheme="minorHAnsi"/>
          <w:lang w:eastAsia="en-GB"/>
        </w:rPr>
        <w:t>.  The council’s response to this evidence was, essentially, that a consultation is not a referendum, that although there was a majority for lower options, there was a good level of support for the highest option, that they knew what was best for most people, that what they were really looking for was good arguments, and that if we disagreed we could argue the case in front</w:t>
      </w:r>
      <w:r w:rsidR="003640F1">
        <w:rPr>
          <w:rFonts w:asciiTheme="minorHAnsi" w:hAnsiTheme="minorHAnsi" w:cstheme="minorHAnsi"/>
          <w:lang w:eastAsia="en-GB"/>
        </w:rPr>
        <w:t xml:space="preserve"> of an Inspector.</w:t>
      </w:r>
    </w:p>
    <w:p w:rsidR="003640F1" w:rsidRDefault="003640F1" w:rsidP="00646F5B">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Our case is that the Council has therefore not </w:t>
      </w:r>
      <w:r w:rsidRPr="00EC4E3E">
        <w:rPr>
          <w:rFonts w:asciiTheme="minorHAnsi" w:hAnsiTheme="minorHAnsi" w:cstheme="minorHAnsi"/>
          <w:lang w:eastAsia="en-GB"/>
        </w:rPr>
        <w:t>conscientiously taken into account</w:t>
      </w:r>
      <w:r>
        <w:rPr>
          <w:rFonts w:asciiTheme="minorHAnsi" w:hAnsiTheme="minorHAnsi" w:cstheme="minorHAnsi"/>
          <w:lang w:eastAsia="en-GB"/>
        </w:rPr>
        <w:t xml:space="preserve"> the </w:t>
      </w:r>
      <w:r w:rsidRPr="00EC4E3E">
        <w:rPr>
          <w:rFonts w:asciiTheme="minorHAnsi" w:hAnsiTheme="minorHAnsi" w:cstheme="minorHAnsi"/>
          <w:lang w:eastAsia="en-GB"/>
        </w:rPr>
        <w:t>product of consultation</w:t>
      </w:r>
      <w:r>
        <w:rPr>
          <w:rFonts w:asciiTheme="minorHAnsi" w:hAnsiTheme="minorHAnsi" w:cstheme="minorHAnsi"/>
          <w:lang w:eastAsia="en-GB"/>
        </w:rPr>
        <w:t xml:space="preserve"> in a proper manner.</w:t>
      </w:r>
    </w:p>
    <w:p w:rsidR="00B3267A" w:rsidRDefault="00B3267A" w:rsidP="00646F5B">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During the latest Pre-Submission consultation, we </w:t>
      </w:r>
      <w:r w:rsidR="006B7A5A">
        <w:rPr>
          <w:rFonts w:asciiTheme="minorHAnsi" w:hAnsiTheme="minorHAnsi" w:cstheme="minorHAnsi"/>
          <w:lang w:eastAsia="en-GB"/>
        </w:rPr>
        <w:t>queried with</w:t>
      </w:r>
      <w:r>
        <w:rPr>
          <w:rFonts w:asciiTheme="minorHAnsi" w:hAnsiTheme="minorHAnsi" w:cstheme="minorHAnsi"/>
          <w:lang w:eastAsia="en-GB"/>
        </w:rPr>
        <w:t xml:space="preserve"> the Council the fact that some evidence documents, stated within Appendix 3 of the Draft Plan to be Key, had not actually been published, because they weren’t ready.  The Council</w:t>
      </w:r>
      <w:r w:rsidR="006B7A5A">
        <w:rPr>
          <w:rFonts w:asciiTheme="minorHAnsi" w:hAnsiTheme="minorHAnsi" w:cstheme="minorHAnsi"/>
          <w:lang w:eastAsia="en-GB"/>
        </w:rPr>
        <w:t>’s</w:t>
      </w:r>
      <w:r>
        <w:rPr>
          <w:rFonts w:asciiTheme="minorHAnsi" w:hAnsiTheme="minorHAnsi" w:cstheme="minorHAnsi"/>
          <w:lang w:eastAsia="en-GB"/>
        </w:rPr>
        <w:t xml:space="preserve"> </w:t>
      </w:r>
      <w:r w:rsidR="006B7A5A">
        <w:rPr>
          <w:rFonts w:asciiTheme="minorHAnsi" w:hAnsiTheme="minorHAnsi" w:cstheme="minorHAnsi"/>
          <w:lang w:eastAsia="en-GB"/>
        </w:rPr>
        <w:t>response was essentially that that was alright, as long as the missing documents we</w:t>
      </w:r>
      <w:r>
        <w:rPr>
          <w:rFonts w:asciiTheme="minorHAnsi" w:hAnsiTheme="minorHAnsi" w:cstheme="minorHAnsi"/>
          <w:lang w:eastAsia="en-GB"/>
        </w:rPr>
        <w:t xml:space="preserve">re produced for the Regulation 19 stage of consultation.  </w:t>
      </w:r>
      <w:r w:rsidR="006B7A5A">
        <w:rPr>
          <w:rFonts w:asciiTheme="minorHAnsi" w:hAnsiTheme="minorHAnsi" w:cstheme="minorHAnsi"/>
          <w:lang w:eastAsia="en-GB"/>
        </w:rPr>
        <w:t>Now, at the Regulation 19 stage, some of those supposedly Key documents are still missing from the evidence base.  The most glaring omission is an up-to-date</w:t>
      </w:r>
      <w:r>
        <w:rPr>
          <w:rFonts w:asciiTheme="minorHAnsi" w:hAnsiTheme="minorHAnsi" w:cstheme="minorHAnsi"/>
          <w:lang w:eastAsia="en-GB"/>
        </w:rPr>
        <w:t xml:space="preserve"> Annu</w:t>
      </w:r>
      <w:r w:rsidR="006B7A5A">
        <w:rPr>
          <w:rFonts w:asciiTheme="minorHAnsi" w:hAnsiTheme="minorHAnsi" w:cstheme="minorHAnsi"/>
          <w:lang w:eastAsia="en-GB"/>
        </w:rPr>
        <w:t xml:space="preserve">al/Authority Monitoring Report; </w:t>
      </w:r>
      <w:r>
        <w:rPr>
          <w:rFonts w:asciiTheme="minorHAnsi" w:hAnsiTheme="minorHAnsi" w:cstheme="minorHAnsi"/>
          <w:lang w:eastAsia="en-GB"/>
        </w:rPr>
        <w:t xml:space="preserve">the </w:t>
      </w:r>
      <w:r w:rsidR="006B7A5A">
        <w:rPr>
          <w:rFonts w:asciiTheme="minorHAnsi" w:hAnsiTheme="minorHAnsi" w:cstheme="minorHAnsi"/>
          <w:lang w:eastAsia="en-GB"/>
        </w:rPr>
        <w:t>latest published</w:t>
      </w:r>
      <w:r>
        <w:rPr>
          <w:rFonts w:asciiTheme="minorHAnsi" w:hAnsiTheme="minorHAnsi" w:cstheme="minorHAnsi"/>
          <w:lang w:eastAsia="en-GB"/>
        </w:rPr>
        <w:t xml:space="preserve"> A</w:t>
      </w:r>
      <w:r w:rsidR="006B7A5A">
        <w:rPr>
          <w:rFonts w:asciiTheme="minorHAnsi" w:hAnsiTheme="minorHAnsi" w:cstheme="minorHAnsi"/>
          <w:lang w:eastAsia="en-GB"/>
        </w:rPr>
        <w:t>MR, for the year to 31 March 2017, is now well over three years out of date</w:t>
      </w:r>
      <w:r>
        <w:rPr>
          <w:rFonts w:asciiTheme="minorHAnsi" w:hAnsiTheme="minorHAnsi" w:cstheme="minorHAnsi"/>
          <w:lang w:eastAsia="en-GB"/>
        </w:rPr>
        <w:t>.</w:t>
      </w:r>
      <w:r w:rsidR="006B7A5A">
        <w:rPr>
          <w:rFonts w:asciiTheme="minorHAnsi" w:hAnsiTheme="minorHAnsi" w:cstheme="minorHAnsi"/>
          <w:lang w:eastAsia="en-GB"/>
        </w:rPr>
        <w:t xml:space="preserve">  Without it, there is no up to date evidence as to how the Council has actually performed in the first four years of the Plan period (i.e. 2016 to 2020, within the overall Plan period of 2016 to 2038).</w:t>
      </w:r>
    </w:p>
    <w:p w:rsidR="003640F1" w:rsidRDefault="003640F1" w:rsidP="00D53B7D">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O</w:t>
      </w:r>
      <w:r w:rsidR="004D699E">
        <w:rPr>
          <w:rFonts w:asciiTheme="minorHAnsi" w:hAnsiTheme="minorHAnsi" w:cstheme="minorHAnsi"/>
          <w:lang w:eastAsia="en-GB"/>
        </w:rPr>
        <w:t>ur case is that, without such evidence of how things have actually panned out in the first four years of the Plan, consultees do not have before them</w:t>
      </w:r>
      <w:r>
        <w:rPr>
          <w:rFonts w:asciiTheme="minorHAnsi" w:hAnsiTheme="minorHAnsi" w:cstheme="minorHAnsi"/>
          <w:lang w:eastAsia="en-GB"/>
        </w:rPr>
        <w:t xml:space="preserve"> </w:t>
      </w:r>
      <w:r w:rsidR="004D699E">
        <w:rPr>
          <w:rFonts w:asciiTheme="minorHAnsi" w:hAnsiTheme="minorHAnsi" w:cstheme="minorHAnsi"/>
          <w:lang w:eastAsia="en-GB"/>
        </w:rPr>
        <w:t>s</w:t>
      </w:r>
      <w:r w:rsidR="004D699E" w:rsidRPr="00EC4E3E">
        <w:rPr>
          <w:rFonts w:asciiTheme="minorHAnsi" w:hAnsiTheme="minorHAnsi" w:cstheme="minorHAnsi"/>
          <w:lang w:eastAsia="en-GB"/>
        </w:rPr>
        <w:t xml:space="preserve">ufficient reasons to allow </w:t>
      </w:r>
      <w:r w:rsidR="004D699E">
        <w:rPr>
          <w:rFonts w:asciiTheme="minorHAnsi" w:hAnsiTheme="minorHAnsi" w:cstheme="minorHAnsi"/>
          <w:lang w:eastAsia="en-GB"/>
        </w:rPr>
        <w:t>them to</w:t>
      </w:r>
      <w:r w:rsidR="004D699E" w:rsidRPr="00EC4E3E">
        <w:rPr>
          <w:rFonts w:asciiTheme="minorHAnsi" w:hAnsiTheme="minorHAnsi" w:cstheme="minorHAnsi"/>
          <w:lang w:eastAsia="en-GB"/>
        </w:rPr>
        <w:t xml:space="preserve"> intelligent</w:t>
      </w:r>
      <w:r w:rsidR="004D699E">
        <w:rPr>
          <w:rFonts w:asciiTheme="minorHAnsi" w:hAnsiTheme="minorHAnsi" w:cstheme="minorHAnsi"/>
          <w:lang w:eastAsia="en-GB"/>
        </w:rPr>
        <w:t>ly consider whether the Plan is likely to achieve its goals within the remaining 18 years of its Plan period.</w:t>
      </w:r>
    </w:p>
    <w:p w:rsidR="00B3267A" w:rsidRPr="00A00D7B" w:rsidRDefault="004D699E" w:rsidP="00D53B7D">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Draft Plan itself is 359</w:t>
      </w:r>
      <w:r w:rsidR="00B3267A">
        <w:rPr>
          <w:rFonts w:asciiTheme="minorHAnsi" w:hAnsiTheme="minorHAnsi" w:cstheme="minorHAnsi"/>
          <w:lang w:eastAsia="en-GB"/>
        </w:rPr>
        <w:t xml:space="preserve"> pages long, but its supporting Evidence Base contains </w:t>
      </w:r>
      <w:r>
        <w:rPr>
          <w:rFonts w:asciiTheme="minorHAnsi" w:hAnsiTheme="minorHAnsi" w:cstheme="minorHAnsi"/>
          <w:lang w:eastAsia="en-GB"/>
        </w:rPr>
        <w:t>approaching 17</w:t>
      </w:r>
      <w:r w:rsidR="00B3267A">
        <w:rPr>
          <w:rFonts w:asciiTheme="minorHAnsi" w:hAnsiTheme="minorHAnsi" w:cstheme="minorHAnsi"/>
          <w:lang w:eastAsia="en-GB"/>
        </w:rPr>
        <w:t xml:space="preserve">,000 pages of evidence, </w:t>
      </w:r>
      <w:r>
        <w:rPr>
          <w:rFonts w:asciiTheme="minorHAnsi" w:hAnsiTheme="minorHAnsi" w:cstheme="minorHAnsi"/>
          <w:lang w:eastAsia="en-GB"/>
        </w:rPr>
        <w:t>about 2,6</w:t>
      </w:r>
      <w:r w:rsidR="00B3267A">
        <w:rPr>
          <w:rFonts w:asciiTheme="minorHAnsi" w:hAnsiTheme="minorHAnsi" w:cstheme="minorHAnsi"/>
          <w:lang w:eastAsia="en-GB"/>
        </w:rPr>
        <w:t xml:space="preserve">00 pages of which </w:t>
      </w:r>
      <w:r>
        <w:rPr>
          <w:rFonts w:asciiTheme="minorHAnsi" w:hAnsiTheme="minorHAnsi" w:cstheme="minorHAnsi"/>
          <w:lang w:eastAsia="en-GB"/>
        </w:rPr>
        <w:t>are new</w:t>
      </w:r>
      <w:r w:rsidR="00B3267A">
        <w:rPr>
          <w:rFonts w:asciiTheme="minorHAnsi" w:hAnsiTheme="minorHAnsi" w:cstheme="minorHAnsi"/>
          <w:lang w:eastAsia="en-GB"/>
        </w:rPr>
        <w:t xml:space="preserve"> for </w:t>
      </w:r>
      <w:r>
        <w:rPr>
          <w:rFonts w:asciiTheme="minorHAnsi" w:hAnsiTheme="minorHAnsi" w:cstheme="minorHAnsi"/>
          <w:lang w:eastAsia="en-GB"/>
        </w:rPr>
        <w:t>this Regulation 19 stage of</w:t>
      </w:r>
      <w:r w:rsidR="00A00D7B">
        <w:rPr>
          <w:rFonts w:asciiTheme="minorHAnsi" w:hAnsiTheme="minorHAnsi" w:cstheme="minorHAnsi"/>
          <w:lang w:eastAsia="en-GB"/>
        </w:rPr>
        <w:t xml:space="preserve"> consultation.  This represents quite a paper chase.</w:t>
      </w:r>
      <w:r w:rsidR="00B3267A">
        <w:rPr>
          <w:rFonts w:asciiTheme="minorHAnsi" w:hAnsiTheme="minorHAnsi" w:cstheme="minorHAnsi"/>
          <w:lang w:eastAsia="en-GB"/>
        </w:rPr>
        <w:t xml:space="preserve">  In or</w:t>
      </w:r>
      <w:r w:rsidR="00A00D7B">
        <w:rPr>
          <w:rFonts w:asciiTheme="minorHAnsi" w:hAnsiTheme="minorHAnsi" w:cstheme="minorHAnsi"/>
          <w:lang w:eastAsia="en-GB"/>
        </w:rPr>
        <w:t xml:space="preserve">der better to </w:t>
      </w:r>
      <w:r w:rsidR="00A00D7B">
        <w:rPr>
          <w:rFonts w:asciiTheme="minorHAnsi" w:hAnsiTheme="minorHAnsi" w:cstheme="minorHAnsi"/>
          <w:lang w:eastAsia="en-GB"/>
        </w:rPr>
        <w:lastRenderedPageBreak/>
        <w:t>understand what i</w:t>
      </w:r>
      <w:r w:rsidR="00B3267A">
        <w:rPr>
          <w:rFonts w:asciiTheme="minorHAnsi" w:hAnsiTheme="minorHAnsi" w:cstheme="minorHAnsi"/>
          <w:lang w:eastAsia="en-GB"/>
        </w:rPr>
        <w:t xml:space="preserve">s </w:t>
      </w:r>
      <w:r w:rsidR="00A00D7B">
        <w:rPr>
          <w:rFonts w:asciiTheme="minorHAnsi" w:hAnsiTheme="minorHAnsi" w:cstheme="minorHAnsi"/>
          <w:lang w:eastAsia="en-GB"/>
        </w:rPr>
        <w:t>in the Evidence Base</w:t>
      </w:r>
      <w:r w:rsidR="00B3267A">
        <w:rPr>
          <w:rFonts w:asciiTheme="minorHAnsi" w:hAnsiTheme="minorHAnsi" w:cstheme="minorHAnsi"/>
          <w:lang w:eastAsia="en-GB"/>
        </w:rPr>
        <w:t xml:space="preserve">, </w:t>
      </w:r>
      <w:r w:rsidR="00FD5E24">
        <w:rPr>
          <w:rFonts w:asciiTheme="minorHAnsi" w:hAnsiTheme="minorHAnsi" w:cstheme="minorHAnsi"/>
          <w:lang w:eastAsia="en-GB"/>
        </w:rPr>
        <w:t xml:space="preserve">and the relative sizes of documents (which is not indicated at all within the Evidence Base webpages) </w:t>
      </w:r>
      <w:r w:rsidR="00B3267A">
        <w:rPr>
          <w:rFonts w:asciiTheme="minorHAnsi" w:hAnsiTheme="minorHAnsi" w:cstheme="minorHAnsi"/>
          <w:lang w:eastAsia="en-GB"/>
        </w:rPr>
        <w:t xml:space="preserve">we compiled a full catalogue of </w:t>
      </w:r>
      <w:r w:rsidR="00A00D7B">
        <w:rPr>
          <w:rFonts w:asciiTheme="minorHAnsi" w:hAnsiTheme="minorHAnsi" w:cstheme="minorHAnsi"/>
          <w:lang w:eastAsia="en-GB"/>
        </w:rPr>
        <w:t>it</w:t>
      </w:r>
      <w:r w:rsidR="00FD5E24">
        <w:rPr>
          <w:rFonts w:asciiTheme="minorHAnsi" w:hAnsiTheme="minorHAnsi" w:cstheme="minorHAnsi"/>
          <w:lang w:eastAsia="en-GB"/>
        </w:rPr>
        <w:t xml:space="preserve">, which is reproduced </w:t>
      </w:r>
      <w:r w:rsidR="00A67C7E">
        <w:rPr>
          <w:rFonts w:asciiTheme="minorHAnsi" w:hAnsiTheme="minorHAnsi" w:cstheme="minorHAnsi"/>
          <w:lang w:eastAsia="en-GB"/>
        </w:rPr>
        <w:t>as Appendix 3.</w:t>
      </w:r>
      <w:r w:rsidR="00A00D7B">
        <w:rPr>
          <w:rFonts w:asciiTheme="minorHAnsi" w:hAnsiTheme="minorHAnsi" w:cstheme="minorHAnsi"/>
          <w:lang w:eastAsia="en-GB"/>
        </w:rPr>
        <w:t xml:space="preserve">  Because of this volume of evidence, including the volume of new evidence, we made repeated representations to the Council (via questions to Cabinet) that the original seven weeks set for this Regulation 19 consultation was not a</w:t>
      </w:r>
      <w:r w:rsidR="00A00D7B" w:rsidRPr="00EC4E3E">
        <w:rPr>
          <w:rFonts w:asciiTheme="minorHAnsi" w:hAnsiTheme="minorHAnsi" w:cstheme="minorHAnsi"/>
          <w:lang w:eastAsia="en-GB"/>
        </w:rPr>
        <w:t xml:space="preserve">dequate time for </w:t>
      </w:r>
      <w:r w:rsidR="00A00D7B">
        <w:rPr>
          <w:rFonts w:asciiTheme="minorHAnsi" w:hAnsiTheme="minorHAnsi" w:cstheme="minorHAnsi"/>
          <w:lang w:eastAsia="en-GB"/>
        </w:rPr>
        <w:t xml:space="preserve">intelligent </w:t>
      </w:r>
      <w:r w:rsidR="00A00D7B" w:rsidRPr="00EC4E3E">
        <w:rPr>
          <w:rFonts w:asciiTheme="minorHAnsi" w:hAnsiTheme="minorHAnsi" w:cstheme="minorHAnsi"/>
          <w:lang w:eastAsia="en-GB"/>
        </w:rPr>
        <w:t>consideration and response</w:t>
      </w:r>
      <w:r w:rsidR="00A00D7B">
        <w:rPr>
          <w:rFonts w:asciiTheme="minorHAnsi" w:hAnsiTheme="minorHAnsi" w:cstheme="minorHAnsi"/>
          <w:lang w:eastAsia="en-GB"/>
        </w:rPr>
        <w:t xml:space="preserve">.  It is therefore welcomed that the present consultation was extended to 10 weeks, although the reason given for the extension was the additional challenges presented by the current </w:t>
      </w:r>
      <w:r w:rsidR="00B3267A" w:rsidRPr="00A00D7B">
        <w:rPr>
          <w:rFonts w:asciiTheme="minorHAnsi" w:hAnsiTheme="minorHAnsi" w:cstheme="minorHAnsi"/>
          <w:lang w:eastAsia="en-GB"/>
        </w:rPr>
        <w:t>COVID-19 crisis.</w:t>
      </w:r>
      <w:r w:rsidR="00A00D7B">
        <w:rPr>
          <w:rFonts w:asciiTheme="minorHAnsi" w:hAnsiTheme="minorHAnsi" w:cstheme="minorHAnsi"/>
          <w:lang w:eastAsia="en-GB"/>
        </w:rPr>
        <w:t xml:space="preserve">  As noted </w:t>
      </w:r>
      <w:r w:rsidR="00DB3ADF">
        <w:rPr>
          <w:rFonts w:asciiTheme="minorHAnsi" w:hAnsiTheme="minorHAnsi" w:cstheme="minorHAnsi"/>
          <w:lang w:eastAsia="en-GB"/>
        </w:rPr>
        <w:t>in paragraph 2.3 iii) above, we submit that there are good reasons why consultations of this nature should be for at least 12 weeks.</w:t>
      </w:r>
    </w:p>
    <w:p w:rsidR="005307CB" w:rsidRDefault="005307CB" w:rsidP="000068AF">
      <w:pPr>
        <w:pStyle w:val="Heading2"/>
        <w:keepNext w:val="0"/>
        <w:spacing w:before="240" w:after="120"/>
        <w:rPr>
          <w:rFonts w:asciiTheme="minorHAnsi" w:eastAsiaTheme="minorHAnsi" w:hAnsiTheme="minorHAnsi" w:cstheme="minorHAnsi"/>
          <w:b/>
          <w:i/>
          <w:color w:val="0070C0"/>
          <w:sz w:val="28"/>
          <w:szCs w:val="28"/>
          <w:lang w:eastAsia="en-GB"/>
        </w:rPr>
      </w:pPr>
      <w:bookmarkStart w:id="3" w:name="_Toc65242890"/>
      <w:r w:rsidRPr="005307CB">
        <w:rPr>
          <w:rFonts w:asciiTheme="minorHAnsi" w:eastAsiaTheme="minorHAnsi" w:hAnsiTheme="minorHAnsi" w:cstheme="minorHAnsi"/>
          <w:b/>
          <w:i/>
          <w:color w:val="0070C0"/>
          <w:sz w:val="28"/>
          <w:szCs w:val="28"/>
          <w:lang w:eastAsia="en-GB"/>
        </w:rPr>
        <w:t>Modification(s) considered necessary</w:t>
      </w:r>
      <w:bookmarkEnd w:id="3"/>
    </w:p>
    <w:p w:rsidR="00FD5E24" w:rsidRDefault="00D53B7D" w:rsidP="00D53B7D">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For the reasons stated above, we consider that the consultation for this Regulation 19 stage has not been conducted properly.  It should be rerun when all Key evidence has been published.</w:t>
      </w:r>
    </w:p>
    <w:p w:rsidR="00DB3ADF" w:rsidRDefault="00B33D91" w:rsidP="00B33D91">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Draft Plan should be amended in line with the fact that </w:t>
      </w:r>
      <w:r w:rsidRPr="00B13304">
        <w:rPr>
          <w:rFonts w:asciiTheme="minorHAnsi" w:hAnsiTheme="minorHAnsi" w:cstheme="minorHAnsi"/>
          <w:lang w:eastAsia="en-GB"/>
        </w:rPr>
        <w:t>Members of the Public, Town and Parish Councils and Local and National Interest groups are all overwhelmingly in favour of lower housing targets</w:t>
      </w:r>
      <w:r>
        <w:rPr>
          <w:rFonts w:asciiTheme="minorHAnsi" w:hAnsiTheme="minorHAnsi" w:cstheme="minorHAnsi"/>
          <w:lang w:eastAsia="en-GB"/>
        </w:rPr>
        <w:t>.</w:t>
      </w:r>
    </w:p>
    <w:p w:rsidR="006B3A81" w:rsidRDefault="006B3A81" w:rsidP="006B3A81">
      <w:pPr>
        <w:pStyle w:val="ListParagraph"/>
        <w:spacing w:before="240" w:line="300" w:lineRule="auto"/>
        <w:contextualSpacing w:val="0"/>
        <w:textAlignment w:val="baseline"/>
        <w:rPr>
          <w:rFonts w:asciiTheme="minorHAnsi" w:hAnsiTheme="minorHAnsi" w:cstheme="minorHAnsi"/>
          <w:lang w:eastAsia="en-GB"/>
        </w:rPr>
      </w:pPr>
      <w:r>
        <w:rPr>
          <w:rFonts w:asciiTheme="minorHAnsi" w:hAnsiTheme="minorHAnsi" w:cstheme="minorHAnsi"/>
          <w:lang w:eastAsia="en-GB"/>
        </w:rPr>
        <w:br w:type="page"/>
      </w:r>
    </w:p>
    <w:p w:rsidR="000068AF" w:rsidRPr="000068AF" w:rsidRDefault="000068AF" w:rsidP="003901F7">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4" w:name="_Toc65242891"/>
      <w:r w:rsidRPr="00885951">
        <w:rPr>
          <w:rFonts w:asciiTheme="minorHAnsi" w:hAnsiTheme="minorHAnsi" w:cstheme="minorHAnsi"/>
          <w:b/>
          <w:color w:val="0070C0"/>
          <w:sz w:val="36"/>
          <w:szCs w:val="36"/>
          <w:lang w:eastAsia="en-GB"/>
        </w:rPr>
        <w:lastRenderedPageBreak/>
        <w:t>Sustainability</w:t>
      </w:r>
      <w:r w:rsidR="003901F7">
        <w:rPr>
          <w:rFonts w:asciiTheme="minorHAnsi" w:hAnsiTheme="minorHAnsi" w:cstheme="minorHAnsi"/>
          <w:b/>
          <w:color w:val="0070C0"/>
          <w:sz w:val="36"/>
          <w:szCs w:val="36"/>
          <w:lang w:eastAsia="en-GB"/>
        </w:rPr>
        <w:t xml:space="preserve"> Appraisal</w:t>
      </w:r>
      <w:bookmarkEnd w:id="4"/>
    </w:p>
    <w:p w:rsidR="000068AF" w:rsidRPr="00FE2663" w:rsidRDefault="000068AF" w:rsidP="000068AF">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0068AF" w:rsidRPr="00FE2663" w:rsidRDefault="000068AF" w:rsidP="000068AF">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0068AF" w:rsidRPr="00A17498" w:rsidTr="00BA3D8D">
        <w:trPr>
          <w:trHeight w:val="283"/>
        </w:trPr>
        <w:tc>
          <w:tcPr>
            <w:tcW w:w="567" w:type="dxa"/>
            <w:tcBorders>
              <w:right w:val="single" w:sz="4" w:space="0" w:color="auto"/>
            </w:tcBorders>
            <w:vAlign w:val="center"/>
          </w:tcPr>
          <w:p w:rsidR="000068AF" w:rsidRPr="00A17498" w:rsidRDefault="000068AF" w:rsidP="00BA3D8D">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c>
          <w:tcPr>
            <w:tcW w:w="9214" w:type="dxa"/>
            <w:tcBorders>
              <w:top w:val="nil"/>
              <w:left w:val="single" w:sz="4" w:space="0" w:color="auto"/>
              <w:bottom w:val="nil"/>
              <w:right w:val="nil"/>
            </w:tcBorders>
            <w:vAlign w:val="center"/>
          </w:tcPr>
          <w:p w:rsidR="000068AF" w:rsidRPr="001251D0" w:rsidRDefault="000068AF" w:rsidP="00BA3D8D">
            <w:pPr>
              <w:pStyle w:val="ListParagraph"/>
              <w:spacing w:after="0"/>
              <w:contextualSpacing w:val="0"/>
              <w:rPr>
                <w:rFonts w:asciiTheme="minorHAnsi" w:hAnsiTheme="minorHAnsi" w:cstheme="minorHAnsi"/>
                <w:sz w:val="16"/>
                <w:szCs w:val="16"/>
              </w:rPr>
            </w:pPr>
            <w:r w:rsidRPr="001251D0">
              <w:rPr>
                <w:rFonts w:ascii="Verdana" w:hAnsi="Verdana" w:cs="Verdana"/>
                <w:color w:val="000000"/>
                <w:sz w:val="16"/>
                <w:szCs w:val="16"/>
              </w:rPr>
              <w:t>Sustainability Appraisal of the Regulation 19: Pre-Submission Draft of the Shropshire Local Plan</w:t>
            </w:r>
          </w:p>
        </w:tc>
      </w:tr>
    </w:tbl>
    <w:p w:rsidR="000068AF" w:rsidRPr="00A17498" w:rsidRDefault="000068AF" w:rsidP="000068AF">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0068AF" w:rsidRPr="00A17498" w:rsidTr="00BA3D8D">
        <w:trPr>
          <w:trHeight w:val="283"/>
        </w:trPr>
        <w:tc>
          <w:tcPr>
            <w:tcW w:w="1134" w:type="dxa"/>
            <w:tcBorders>
              <w:top w:val="nil"/>
              <w:left w:val="nil"/>
              <w:bottom w:val="nil"/>
              <w:right w:val="single" w:sz="4" w:space="0" w:color="auto"/>
            </w:tcBorders>
            <w:vAlign w:val="center"/>
          </w:tcPr>
          <w:p w:rsidR="000068AF" w:rsidRPr="00A17498" w:rsidRDefault="000068AF" w:rsidP="00BA3D8D">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0068AF" w:rsidRPr="00A17498" w:rsidRDefault="000068AF" w:rsidP="00BA3D8D">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0068AF" w:rsidRPr="00A17498" w:rsidRDefault="000068AF" w:rsidP="00BA3D8D">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0068AF" w:rsidRPr="00A17498" w:rsidRDefault="000068AF" w:rsidP="00BA3D8D">
            <w:pPr>
              <w:pStyle w:val="BodyText"/>
              <w:spacing w:after="0"/>
              <w:rPr>
                <w:rFonts w:asciiTheme="minorHAnsi" w:hAnsiTheme="minorHAnsi" w:cstheme="minorHAnsi"/>
              </w:rPr>
            </w:pPr>
            <w:r>
              <w:rPr>
                <w:rFonts w:asciiTheme="minorHAnsi" w:hAnsiTheme="minorHAnsi" w:cstheme="minorHAnsi"/>
              </w:rPr>
              <w:t>All</w:t>
            </w:r>
          </w:p>
        </w:tc>
      </w:tr>
    </w:tbl>
    <w:p w:rsidR="000068AF" w:rsidRPr="00A17498" w:rsidRDefault="000068AF" w:rsidP="000068AF">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0068AF" w:rsidTr="00BA3D8D">
        <w:trPr>
          <w:trHeight w:val="283"/>
        </w:trPr>
        <w:tc>
          <w:tcPr>
            <w:tcW w:w="4820" w:type="dxa"/>
            <w:tcBorders>
              <w:top w:val="nil"/>
              <w:left w:val="nil"/>
              <w:bottom w:val="nil"/>
              <w:right w:val="nil"/>
            </w:tcBorders>
            <w:vAlign w:val="center"/>
          </w:tcPr>
          <w:p w:rsidR="000068AF" w:rsidRPr="00882F68" w:rsidRDefault="000068AF" w:rsidP="00BA3D8D">
            <w:pPr>
              <w:rPr>
                <w:rFonts w:ascii="Verdana" w:eastAsiaTheme="minorHAnsi" w:hAnsi="Verdana" w:cs="Verdana"/>
                <w:color w:val="000000"/>
                <w:sz w:val="20"/>
                <w:szCs w:val="20"/>
              </w:rPr>
            </w:pPr>
            <w:r w:rsidRPr="00882F68">
              <w:rPr>
                <w:rFonts w:ascii="Verdana" w:eastAsiaTheme="minorHAnsi" w:hAnsi="Verdana" w:cs="Verdana"/>
                <w:color w:val="000000"/>
                <w:sz w:val="20"/>
                <w:szCs w:val="20"/>
              </w:rPr>
              <w:t>A. Legally compliant</w:t>
            </w:r>
          </w:p>
        </w:tc>
        <w:tc>
          <w:tcPr>
            <w:tcW w:w="1275" w:type="dxa"/>
            <w:tcBorders>
              <w:top w:val="nil"/>
              <w:left w:val="nil"/>
              <w:bottom w:val="nil"/>
              <w:right w:val="single" w:sz="4" w:space="0" w:color="auto"/>
            </w:tcBorders>
            <w:vAlign w:val="center"/>
          </w:tcPr>
          <w:p w:rsidR="000068AF" w:rsidRDefault="000068AF" w:rsidP="00BA3D8D">
            <w:pPr>
              <w:pStyle w:val="TableParagraph"/>
              <w:rPr>
                <w:sz w:val="20"/>
              </w:rPr>
            </w:pPr>
            <w:r>
              <w:rPr>
                <w:sz w:val="20"/>
              </w:rPr>
              <w:t>Yes:</w:t>
            </w:r>
          </w:p>
        </w:tc>
        <w:tc>
          <w:tcPr>
            <w:tcW w:w="567" w:type="dxa"/>
            <w:tcBorders>
              <w:left w:val="single" w:sz="4" w:space="0" w:color="auto"/>
              <w:right w:val="single" w:sz="4" w:space="0" w:color="auto"/>
            </w:tcBorders>
            <w:vAlign w:val="center"/>
          </w:tcPr>
          <w:p w:rsidR="000068AF" w:rsidRPr="00A17498" w:rsidRDefault="000068AF" w:rsidP="00BA3D8D">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0068AF" w:rsidRDefault="000068AF" w:rsidP="00BA3D8D">
            <w:pPr>
              <w:pStyle w:val="TableParagraph"/>
              <w:rPr>
                <w:sz w:val="20"/>
              </w:rPr>
            </w:pPr>
            <w:r>
              <w:rPr>
                <w:sz w:val="20"/>
              </w:rPr>
              <w:t>No:</w:t>
            </w:r>
          </w:p>
        </w:tc>
        <w:tc>
          <w:tcPr>
            <w:tcW w:w="567" w:type="dxa"/>
            <w:tcBorders>
              <w:left w:val="single" w:sz="4" w:space="0" w:color="auto"/>
            </w:tcBorders>
            <w:vAlign w:val="center"/>
          </w:tcPr>
          <w:p w:rsidR="000068AF" w:rsidRPr="00A17498" w:rsidRDefault="000068AF" w:rsidP="00BA3D8D">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r>
      <w:tr w:rsidR="000068AF" w:rsidTr="00BA3D8D">
        <w:trPr>
          <w:trHeight w:val="283"/>
        </w:trPr>
        <w:tc>
          <w:tcPr>
            <w:tcW w:w="4820" w:type="dxa"/>
            <w:tcBorders>
              <w:top w:val="nil"/>
              <w:left w:val="nil"/>
              <w:bottom w:val="nil"/>
              <w:right w:val="nil"/>
            </w:tcBorders>
            <w:vAlign w:val="center"/>
          </w:tcPr>
          <w:p w:rsidR="000068AF" w:rsidRPr="00882F68" w:rsidRDefault="000068AF" w:rsidP="00BA3D8D">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0068AF" w:rsidRDefault="000068AF" w:rsidP="00BA3D8D">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0068AF" w:rsidRPr="00A17498" w:rsidRDefault="000068AF" w:rsidP="00BA3D8D">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0068AF" w:rsidRDefault="000068AF" w:rsidP="00BA3D8D">
            <w:pPr>
              <w:pStyle w:val="TableParagraph"/>
              <w:spacing w:before="42"/>
              <w:rPr>
                <w:sz w:val="20"/>
              </w:rPr>
            </w:pPr>
            <w:r>
              <w:rPr>
                <w:sz w:val="20"/>
              </w:rPr>
              <w:t>No:</w:t>
            </w:r>
          </w:p>
        </w:tc>
        <w:tc>
          <w:tcPr>
            <w:tcW w:w="567" w:type="dxa"/>
            <w:tcBorders>
              <w:left w:val="single" w:sz="4" w:space="0" w:color="auto"/>
            </w:tcBorders>
            <w:vAlign w:val="center"/>
          </w:tcPr>
          <w:p w:rsidR="000068AF" w:rsidRPr="00A17498" w:rsidRDefault="000068AF" w:rsidP="00BA3D8D">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r>
    </w:tbl>
    <w:p w:rsidR="000068AF" w:rsidRPr="005307CB" w:rsidRDefault="000068AF" w:rsidP="000068AF">
      <w:pPr>
        <w:pStyle w:val="Heading2"/>
        <w:spacing w:before="240" w:after="120"/>
        <w:rPr>
          <w:rFonts w:asciiTheme="minorHAnsi" w:eastAsiaTheme="minorHAnsi" w:hAnsiTheme="minorHAnsi" w:cstheme="minorHAnsi"/>
          <w:b/>
          <w:i/>
          <w:color w:val="0070C0"/>
          <w:sz w:val="28"/>
          <w:szCs w:val="28"/>
          <w:lang w:eastAsia="en-GB"/>
        </w:rPr>
      </w:pPr>
      <w:bookmarkStart w:id="5" w:name="_Toc65242892"/>
      <w:r w:rsidRPr="005307CB">
        <w:rPr>
          <w:rFonts w:asciiTheme="minorHAnsi" w:eastAsiaTheme="minorHAnsi" w:hAnsiTheme="minorHAnsi" w:cstheme="minorHAnsi"/>
          <w:b/>
          <w:i/>
          <w:color w:val="0070C0"/>
          <w:sz w:val="28"/>
          <w:szCs w:val="28"/>
          <w:lang w:eastAsia="en-GB"/>
        </w:rPr>
        <w:t>Details</w:t>
      </w:r>
      <w:bookmarkEnd w:id="5"/>
    </w:p>
    <w:p w:rsidR="00BA52B6" w:rsidRPr="00BA52B6" w:rsidRDefault="000068AF" w:rsidP="00BA52B6">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In </w:t>
      </w:r>
      <w:r w:rsidR="003901F7">
        <w:rPr>
          <w:rFonts w:asciiTheme="minorHAnsi" w:hAnsiTheme="minorHAnsi" w:cstheme="minorHAnsi"/>
          <w:lang w:eastAsia="en-GB"/>
        </w:rPr>
        <w:t>our response at the</w:t>
      </w:r>
      <w:r w:rsidRPr="00E72101">
        <w:rPr>
          <w:rFonts w:asciiTheme="minorHAnsi" w:hAnsiTheme="minorHAnsi" w:cstheme="minorHAnsi"/>
          <w:lang w:eastAsia="en-GB"/>
        </w:rPr>
        <w:t xml:space="preserve"> </w:t>
      </w:r>
      <w:r>
        <w:rPr>
          <w:rFonts w:asciiTheme="minorHAnsi" w:hAnsiTheme="minorHAnsi" w:cstheme="minorHAnsi"/>
          <w:lang w:eastAsia="en-GB"/>
        </w:rPr>
        <w:t xml:space="preserve">Pre-Submission Draft </w:t>
      </w:r>
      <w:r w:rsidRPr="00E72101">
        <w:rPr>
          <w:rFonts w:asciiTheme="minorHAnsi" w:hAnsiTheme="minorHAnsi" w:cstheme="minorHAnsi"/>
          <w:lang w:eastAsia="en-GB"/>
        </w:rPr>
        <w:t xml:space="preserve">consultation we </w:t>
      </w:r>
      <w:r w:rsidR="003901F7">
        <w:rPr>
          <w:rFonts w:asciiTheme="minorHAnsi" w:hAnsiTheme="minorHAnsi" w:cstheme="minorHAnsi"/>
          <w:lang w:eastAsia="en-GB"/>
        </w:rPr>
        <w:t xml:space="preserve">summarised the points we raised </w:t>
      </w:r>
      <w:r w:rsidR="00BA52B6">
        <w:rPr>
          <w:rFonts w:asciiTheme="minorHAnsi" w:hAnsiTheme="minorHAnsi" w:cstheme="minorHAnsi"/>
          <w:lang w:eastAsia="en-GB"/>
        </w:rPr>
        <w:t xml:space="preserve">in connection with the Sustainability Assessment </w:t>
      </w:r>
      <w:r w:rsidR="003901F7">
        <w:rPr>
          <w:rFonts w:asciiTheme="minorHAnsi" w:hAnsiTheme="minorHAnsi" w:cstheme="minorHAnsi"/>
          <w:lang w:eastAsia="en-GB"/>
        </w:rPr>
        <w:t>as follows</w:t>
      </w:r>
      <w:r w:rsidR="00BA52B6" w:rsidRPr="00BA52B6">
        <w:rPr>
          <w:rFonts w:asciiTheme="minorHAnsi" w:hAnsiTheme="minorHAnsi" w:cstheme="minorHAnsi"/>
          <w:iCs/>
          <w:color w:val="212529"/>
          <w:lang w:eastAsia="en-GB"/>
        </w:rPr>
        <w:t>:</w:t>
      </w:r>
    </w:p>
    <w:p w:rsidR="00BA52B6" w:rsidRPr="003901F7" w:rsidRDefault="00BA52B6" w:rsidP="002427CD">
      <w:pPr>
        <w:numPr>
          <w:ilvl w:val="0"/>
          <w:numId w:val="8"/>
        </w:numPr>
        <w:spacing w:after="120"/>
        <w:ind w:left="567" w:hanging="567"/>
        <w:textAlignment w:val="baseline"/>
        <w:rPr>
          <w:rFonts w:asciiTheme="minorHAnsi" w:hAnsiTheme="minorHAnsi" w:cstheme="minorHAnsi"/>
          <w:iCs/>
          <w:color w:val="212529"/>
          <w:lang w:eastAsia="en-GB"/>
        </w:rPr>
      </w:pPr>
      <w:r w:rsidRPr="003901F7">
        <w:rPr>
          <w:rFonts w:asciiTheme="minorHAnsi" w:hAnsiTheme="minorHAnsi" w:cstheme="minorHAnsi"/>
          <w:iCs/>
          <w:color w:val="212529"/>
          <w:lang w:eastAsia="en-GB"/>
        </w:rPr>
        <w:t>In paragraph 2.19, the reference to SO1 needs changing to SO3.</w:t>
      </w:r>
    </w:p>
    <w:p w:rsidR="00BA52B6" w:rsidRPr="003901F7" w:rsidRDefault="00BA52B6" w:rsidP="002427CD">
      <w:pPr>
        <w:numPr>
          <w:ilvl w:val="0"/>
          <w:numId w:val="8"/>
        </w:numPr>
        <w:spacing w:after="120"/>
        <w:ind w:left="567" w:hanging="567"/>
        <w:textAlignment w:val="baseline"/>
        <w:rPr>
          <w:rFonts w:asciiTheme="minorHAnsi" w:hAnsiTheme="minorHAnsi" w:cstheme="minorHAnsi"/>
          <w:iCs/>
          <w:color w:val="212529"/>
          <w:lang w:eastAsia="en-GB"/>
        </w:rPr>
      </w:pPr>
      <w:r w:rsidRPr="003901F7">
        <w:rPr>
          <w:rFonts w:asciiTheme="minorHAnsi" w:hAnsiTheme="minorHAnsi" w:cstheme="minorHAnsi"/>
          <w:iCs/>
          <w:color w:val="212529"/>
          <w:lang w:eastAsia="en-GB"/>
        </w:rPr>
        <w:t>In Table 2.8, Criteria 6, as actually used in the detailed Excel spreadsheets, needs to be added in.</w:t>
      </w:r>
    </w:p>
    <w:p w:rsidR="00BA52B6" w:rsidRPr="003901F7" w:rsidRDefault="00BA52B6" w:rsidP="002427CD">
      <w:pPr>
        <w:numPr>
          <w:ilvl w:val="0"/>
          <w:numId w:val="8"/>
        </w:numPr>
        <w:spacing w:after="120"/>
        <w:ind w:left="567" w:hanging="567"/>
        <w:textAlignment w:val="baseline"/>
        <w:rPr>
          <w:rFonts w:asciiTheme="minorHAnsi" w:hAnsiTheme="minorHAnsi" w:cstheme="minorHAnsi"/>
          <w:iCs/>
          <w:color w:val="212529"/>
          <w:lang w:eastAsia="en-GB"/>
        </w:rPr>
      </w:pPr>
      <w:r w:rsidRPr="003901F7">
        <w:rPr>
          <w:rFonts w:asciiTheme="minorHAnsi" w:hAnsiTheme="minorHAnsi" w:cstheme="minorHAnsi"/>
          <w:iCs/>
          <w:color w:val="212529"/>
          <w:lang w:eastAsia="en-GB"/>
        </w:rPr>
        <w:t xml:space="preserve">Development will occur not just at the boundary of a site; for Criteria 6, the measurement of 480m should have been taken from the </w:t>
      </w:r>
      <w:r w:rsidRPr="003901F7">
        <w:rPr>
          <w:rFonts w:asciiTheme="minorHAnsi" w:hAnsiTheme="minorHAnsi" w:cstheme="minorHAnsi"/>
          <w:iCs/>
          <w:color w:val="212529"/>
          <w:u w:val="single"/>
          <w:lang w:eastAsia="en-GB"/>
        </w:rPr>
        <w:t>centre</w:t>
      </w:r>
      <w:r w:rsidRPr="003901F7">
        <w:rPr>
          <w:rFonts w:asciiTheme="minorHAnsi" w:hAnsiTheme="minorHAnsi" w:cstheme="minorHAnsi"/>
          <w:iCs/>
          <w:color w:val="212529"/>
          <w:lang w:eastAsia="en-GB"/>
        </w:rPr>
        <w:t xml:space="preserve"> of the site, not from its </w:t>
      </w:r>
      <w:r w:rsidRPr="003901F7">
        <w:rPr>
          <w:rFonts w:asciiTheme="minorHAnsi" w:hAnsiTheme="minorHAnsi" w:cstheme="minorHAnsi"/>
          <w:iCs/>
          <w:color w:val="212529"/>
          <w:u w:val="single"/>
          <w:lang w:eastAsia="en-GB"/>
        </w:rPr>
        <w:t>boundary</w:t>
      </w:r>
      <w:r w:rsidRPr="003901F7">
        <w:rPr>
          <w:rFonts w:asciiTheme="minorHAnsi" w:hAnsiTheme="minorHAnsi" w:cstheme="minorHAnsi"/>
          <w:iCs/>
          <w:color w:val="212529"/>
          <w:lang w:eastAsia="en-GB"/>
        </w:rPr>
        <w:t>.  The same applies to Criteria 5.</w:t>
      </w:r>
    </w:p>
    <w:p w:rsidR="00BA52B6" w:rsidRPr="003901F7" w:rsidRDefault="00BA52B6" w:rsidP="002427CD">
      <w:pPr>
        <w:numPr>
          <w:ilvl w:val="0"/>
          <w:numId w:val="8"/>
        </w:numPr>
        <w:spacing w:after="120"/>
        <w:ind w:left="567" w:hanging="567"/>
        <w:textAlignment w:val="baseline"/>
        <w:rPr>
          <w:rFonts w:asciiTheme="minorHAnsi" w:hAnsiTheme="minorHAnsi" w:cstheme="minorHAnsi"/>
          <w:iCs/>
          <w:color w:val="212529"/>
          <w:lang w:eastAsia="en-GB"/>
        </w:rPr>
      </w:pPr>
      <w:r w:rsidRPr="003901F7">
        <w:rPr>
          <w:rFonts w:asciiTheme="minorHAnsi" w:hAnsiTheme="minorHAnsi" w:cstheme="minorHAnsi"/>
          <w:iCs/>
          <w:color w:val="212529"/>
          <w:lang w:eastAsia="en-GB"/>
        </w:rPr>
        <w:t>The detailed criteria listed against Criteria 4/5 and 6 should have a better match with those listed in Table 1 of the HoS document.</w:t>
      </w:r>
    </w:p>
    <w:p w:rsidR="00BA52B6" w:rsidRPr="003901F7" w:rsidRDefault="00BA52B6" w:rsidP="002427CD">
      <w:pPr>
        <w:numPr>
          <w:ilvl w:val="0"/>
          <w:numId w:val="8"/>
        </w:numPr>
        <w:spacing w:after="120"/>
        <w:ind w:left="567" w:hanging="567"/>
        <w:textAlignment w:val="baseline"/>
        <w:rPr>
          <w:rFonts w:asciiTheme="minorHAnsi" w:hAnsiTheme="minorHAnsi" w:cstheme="minorHAnsi"/>
          <w:iCs/>
          <w:color w:val="212529"/>
          <w:lang w:eastAsia="en-GB"/>
        </w:rPr>
      </w:pPr>
      <w:r w:rsidRPr="003901F7">
        <w:rPr>
          <w:rFonts w:asciiTheme="minorHAnsi" w:hAnsiTheme="minorHAnsi" w:cstheme="minorHAnsi"/>
          <w:iCs/>
          <w:color w:val="212529"/>
          <w:lang w:eastAsia="en-GB"/>
        </w:rPr>
        <w:t>The scoring system used in the stage 2a Excel spreadsheets should use absolute scores, not scores that are relative only to other sites in that particular settlement.</w:t>
      </w:r>
    </w:p>
    <w:p w:rsidR="00BA52B6" w:rsidRPr="003901F7" w:rsidRDefault="00BA52B6" w:rsidP="002427CD">
      <w:pPr>
        <w:numPr>
          <w:ilvl w:val="0"/>
          <w:numId w:val="8"/>
        </w:numPr>
        <w:spacing w:after="120"/>
        <w:ind w:left="567" w:hanging="567"/>
        <w:textAlignment w:val="baseline"/>
        <w:rPr>
          <w:rFonts w:asciiTheme="minorHAnsi" w:hAnsiTheme="minorHAnsi" w:cstheme="minorHAnsi"/>
          <w:iCs/>
          <w:color w:val="212529"/>
          <w:lang w:eastAsia="en-GB"/>
        </w:rPr>
      </w:pPr>
      <w:r w:rsidRPr="003901F7">
        <w:rPr>
          <w:rFonts w:asciiTheme="minorHAnsi" w:hAnsiTheme="minorHAnsi" w:cstheme="minorHAnsi"/>
          <w:iCs/>
          <w:color w:val="212529"/>
          <w:lang w:eastAsia="en-GB"/>
        </w:rPr>
        <w:t>In order to assess the CO</w:t>
      </w:r>
      <w:r w:rsidRPr="003901F7">
        <w:rPr>
          <w:rFonts w:asciiTheme="minorHAnsi" w:hAnsiTheme="minorHAnsi" w:cstheme="minorHAnsi"/>
          <w:iCs/>
          <w:color w:val="212529"/>
          <w:vertAlign w:val="subscript"/>
          <w:lang w:eastAsia="en-GB"/>
        </w:rPr>
        <w:t>2</w:t>
      </w:r>
      <w:r w:rsidRPr="003901F7">
        <w:rPr>
          <w:rFonts w:asciiTheme="minorHAnsi" w:hAnsiTheme="minorHAnsi" w:cstheme="minorHAnsi"/>
          <w:iCs/>
          <w:color w:val="212529"/>
          <w:lang w:eastAsia="en-GB"/>
        </w:rPr>
        <w:t xml:space="preserve"> emissions saving potential of a site, it seems insufficient only to consider the items within Criteria 4/5 and 6.  Other factors could have included the propensity of the site for solar gain (e.g. north facing or south facing), or the distance from a supermarket.</w:t>
      </w:r>
    </w:p>
    <w:p w:rsidR="00BA52B6" w:rsidRPr="00BA52B6" w:rsidRDefault="00BA52B6" w:rsidP="002427CD">
      <w:pPr>
        <w:numPr>
          <w:ilvl w:val="0"/>
          <w:numId w:val="8"/>
        </w:numPr>
        <w:spacing w:after="120"/>
        <w:ind w:left="567" w:hanging="567"/>
        <w:textAlignment w:val="baseline"/>
        <w:rPr>
          <w:rFonts w:asciiTheme="minorHAnsi" w:hAnsiTheme="minorHAnsi" w:cstheme="minorHAnsi"/>
          <w:iCs/>
          <w:color w:val="212529"/>
          <w:lang w:eastAsia="en-GB"/>
        </w:rPr>
      </w:pPr>
      <w:r w:rsidRPr="003901F7">
        <w:rPr>
          <w:rFonts w:asciiTheme="minorHAnsi" w:hAnsiTheme="minorHAnsi" w:cstheme="minorHAnsi"/>
          <w:iCs/>
          <w:color w:val="212529"/>
          <w:lang w:eastAsia="en-GB"/>
        </w:rPr>
        <w:t>The whole me</w:t>
      </w:r>
      <w:r>
        <w:rPr>
          <w:rFonts w:asciiTheme="minorHAnsi" w:hAnsiTheme="minorHAnsi" w:cstheme="minorHAnsi"/>
          <w:iCs/>
          <w:color w:val="212529"/>
          <w:lang w:eastAsia="en-GB"/>
        </w:rPr>
        <w:t>thodology as summarised in D</w:t>
      </w:r>
      <w:r w:rsidRPr="003901F7">
        <w:rPr>
          <w:rFonts w:asciiTheme="minorHAnsi" w:hAnsiTheme="minorHAnsi" w:cstheme="minorHAnsi"/>
          <w:iCs/>
          <w:color w:val="212529"/>
          <w:lang w:eastAsia="en-GB"/>
        </w:rPr>
        <w:t xml:space="preserve">iagram </w:t>
      </w:r>
      <w:r>
        <w:rPr>
          <w:rFonts w:asciiTheme="minorHAnsi" w:hAnsiTheme="minorHAnsi" w:cstheme="minorHAnsi"/>
          <w:iCs/>
          <w:color w:val="212529"/>
          <w:lang w:eastAsia="en-GB"/>
        </w:rPr>
        <w:t>1.1 at page 5 of the SA</w:t>
      </w:r>
      <w:r w:rsidRPr="003901F7">
        <w:rPr>
          <w:rFonts w:asciiTheme="minorHAnsi" w:hAnsiTheme="minorHAnsi" w:cstheme="minorHAnsi"/>
          <w:iCs/>
          <w:color w:val="212529"/>
          <w:lang w:eastAsia="en-GB"/>
        </w:rPr>
        <w:t xml:space="preserve"> is undermined when it is possible to override a highly negative sustainability score, as is the case with the Ironbridge site, by proposing mitigation measures.  The implication is that the site has been allocated for other reasons than sustainability, and in spite of the sustainability appraisal process.</w:t>
      </w:r>
    </w:p>
    <w:p w:rsidR="00BA52B6" w:rsidRDefault="00BA52B6" w:rsidP="00BA52B6">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All points except ii) above still stand.</w:t>
      </w:r>
    </w:p>
    <w:p w:rsidR="000068AF" w:rsidRDefault="00BA52B6" w:rsidP="00BA52B6">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As referred to in iv) above, t</w:t>
      </w:r>
      <w:r w:rsidR="000068AF" w:rsidRPr="0022370F">
        <w:rPr>
          <w:rFonts w:asciiTheme="minorHAnsi" w:hAnsiTheme="minorHAnsi" w:cstheme="minorHAnsi"/>
          <w:lang w:eastAsia="en-GB"/>
        </w:rPr>
        <w:t xml:space="preserve">he simplistic, binary </w:t>
      </w:r>
      <w:r w:rsidR="000068AF">
        <w:rPr>
          <w:rFonts w:asciiTheme="minorHAnsi" w:hAnsiTheme="minorHAnsi" w:cstheme="minorHAnsi"/>
          <w:lang w:eastAsia="en-GB"/>
        </w:rPr>
        <w:t xml:space="preserve">scoring </w:t>
      </w:r>
      <w:r w:rsidR="000068AF" w:rsidRPr="0022370F">
        <w:rPr>
          <w:rFonts w:asciiTheme="minorHAnsi" w:hAnsiTheme="minorHAnsi" w:cstheme="minorHAnsi"/>
          <w:lang w:eastAsia="en-GB"/>
        </w:rPr>
        <w:t xml:space="preserve">criteria </w:t>
      </w:r>
      <w:r w:rsidRPr="0022370F">
        <w:rPr>
          <w:rFonts w:asciiTheme="minorHAnsi" w:hAnsiTheme="minorHAnsi" w:cstheme="minorHAnsi"/>
          <w:lang w:eastAsia="en-GB"/>
        </w:rPr>
        <w:t>used</w:t>
      </w:r>
      <w:r>
        <w:rPr>
          <w:rFonts w:asciiTheme="minorHAnsi" w:hAnsiTheme="minorHAnsi" w:cstheme="minorHAnsi"/>
          <w:lang w:eastAsia="en-GB"/>
        </w:rPr>
        <w:t xml:space="preserve"> in the SA </w:t>
      </w:r>
      <w:r w:rsidR="000068AF" w:rsidRPr="0022370F">
        <w:rPr>
          <w:rFonts w:asciiTheme="minorHAnsi" w:hAnsiTheme="minorHAnsi" w:cstheme="minorHAnsi"/>
          <w:lang w:eastAsia="en-GB"/>
        </w:rPr>
        <w:t>do not match the sustainability criteria used in the Hierarchy of Settlements assessment of villages to determine their suitability as Hubs</w:t>
      </w:r>
      <w:r w:rsidR="000068AF">
        <w:rPr>
          <w:rFonts w:asciiTheme="minorHAnsi" w:hAnsiTheme="minorHAnsi" w:cstheme="minorHAnsi"/>
          <w:lang w:eastAsia="en-GB"/>
        </w:rPr>
        <w:t>.  There is no similar weighting of the relative importance of each criteria.</w:t>
      </w:r>
    </w:p>
    <w:p w:rsidR="000068AF" w:rsidRDefault="00BA52B6" w:rsidP="00BA52B6">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lastRenderedPageBreak/>
        <w:t>As referred to in v) above, t</w:t>
      </w:r>
      <w:r w:rsidR="000068AF">
        <w:rPr>
          <w:rFonts w:asciiTheme="minorHAnsi" w:hAnsiTheme="minorHAnsi" w:cstheme="minorHAnsi"/>
          <w:lang w:eastAsia="en-GB"/>
        </w:rPr>
        <w:t>he scoring is also relative only to other sites within the same settlement; the implication is that the best sites within a settlement are picked out, with little reference as to how they fit in to a county-wide standard.</w:t>
      </w:r>
    </w:p>
    <w:p w:rsidR="003901F7" w:rsidRPr="00E817A3" w:rsidRDefault="000068AF" w:rsidP="00E817A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Little thought has gone into how well a site might help achieve carbon saving goals.</w:t>
      </w:r>
    </w:p>
    <w:p w:rsidR="000068AF" w:rsidRPr="005307CB" w:rsidRDefault="000068AF" w:rsidP="000068AF">
      <w:pPr>
        <w:pStyle w:val="Heading2"/>
        <w:keepNext w:val="0"/>
        <w:spacing w:before="240" w:after="120"/>
        <w:rPr>
          <w:rFonts w:asciiTheme="minorHAnsi" w:eastAsiaTheme="minorHAnsi" w:hAnsiTheme="minorHAnsi" w:cstheme="minorHAnsi"/>
          <w:b/>
          <w:i/>
          <w:color w:val="0070C0"/>
          <w:sz w:val="28"/>
          <w:szCs w:val="28"/>
          <w:lang w:eastAsia="en-GB"/>
        </w:rPr>
      </w:pPr>
      <w:bookmarkStart w:id="6" w:name="_Toc65242893"/>
      <w:r w:rsidRPr="005307CB">
        <w:rPr>
          <w:rFonts w:asciiTheme="minorHAnsi" w:eastAsiaTheme="minorHAnsi" w:hAnsiTheme="minorHAnsi" w:cstheme="minorHAnsi"/>
          <w:b/>
          <w:i/>
          <w:color w:val="0070C0"/>
          <w:sz w:val="28"/>
          <w:szCs w:val="28"/>
          <w:lang w:eastAsia="en-GB"/>
        </w:rPr>
        <w:t>Modification(s) considered necessary</w:t>
      </w:r>
      <w:bookmarkEnd w:id="6"/>
    </w:p>
    <w:p w:rsidR="000068AF" w:rsidRDefault="00E817A3" w:rsidP="00E817A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SA is not a reliable guide to the true sustainability of any one site and should not be relied on as a determinant of allocated sites.</w:t>
      </w:r>
    </w:p>
    <w:p w:rsidR="00650C0E" w:rsidRDefault="00650C0E" w:rsidP="006B3A81">
      <w:pPr>
        <w:pStyle w:val="ListParagraph"/>
        <w:spacing w:before="240" w:line="300" w:lineRule="auto"/>
        <w:contextualSpacing w:val="0"/>
        <w:textAlignment w:val="baseline"/>
        <w:rPr>
          <w:rFonts w:asciiTheme="minorHAnsi" w:hAnsiTheme="minorHAnsi" w:cstheme="minorHAnsi"/>
          <w:lang w:eastAsia="en-GB"/>
        </w:rPr>
      </w:pPr>
      <w:r>
        <w:rPr>
          <w:rFonts w:asciiTheme="minorHAnsi" w:hAnsiTheme="minorHAnsi" w:cstheme="minorHAnsi"/>
          <w:lang w:eastAsia="en-GB"/>
        </w:rPr>
        <w:br w:type="page"/>
      </w:r>
    </w:p>
    <w:p w:rsidR="002C5566" w:rsidRDefault="002C5566" w:rsidP="002C5566">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7" w:name="_Toc65242894"/>
      <w:r>
        <w:rPr>
          <w:rFonts w:asciiTheme="minorHAnsi" w:hAnsiTheme="minorHAnsi" w:cstheme="minorHAnsi"/>
          <w:b/>
          <w:color w:val="0070C0"/>
          <w:sz w:val="36"/>
          <w:szCs w:val="36"/>
          <w:lang w:eastAsia="en-GB"/>
        </w:rPr>
        <w:lastRenderedPageBreak/>
        <w:t>SP1 The Shropshire Test (and Spatial Vision)</w:t>
      </w:r>
      <w:bookmarkEnd w:id="7"/>
    </w:p>
    <w:p w:rsidR="002C5566" w:rsidRPr="00FE2663" w:rsidRDefault="002C5566" w:rsidP="002C5566">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2C5566" w:rsidRPr="00FE2663" w:rsidRDefault="002C5566" w:rsidP="002C5566">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2C5566" w:rsidRPr="00A17498" w:rsidTr="00E233E9">
        <w:trPr>
          <w:trHeight w:val="283"/>
        </w:trPr>
        <w:tc>
          <w:tcPr>
            <w:tcW w:w="567" w:type="dxa"/>
            <w:tcBorders>
              <w:right w:val="single" w:sz="4" w:space="0" w:color="auto"/>
            </w:tcBorders>
            <w:vAlign w:val="center"/>
          </w:tcPr>
          <w:p w:rsidR="002C5566" w:rsidRPr="00A17498" w:rsidRDefault="002C5566" w:rsidP="00E233E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2C5566" w:rsidRPr="001251D0" w:rsidRDefault="002C5566" w:rsidP="00E233E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2C5566" w:rsidRPr="00A17498" w:rsidRDefault="002C5566" w:rsidP="002C5566">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2C5566" w:rsidRPr="00A17498" w:rsidTr="00E233E9">
        <w:trPr>
          <w:trHeight w:val="283"/>
        </w:trPr>
        <w:tc>
          <w:tcPr>
            <w:tcW w:w="1134" w:type="dxa"/>
            <w:tcBorders>
              <w:top w:val="nil"/>
              <w:left w:val="nil"/>
              <w:bottom w:val="nil"/>
              <w:right w:val="single" w:sz="4" w:space="0" w:color="auto"/>
            </w:tcBorders>
            <w:vAlign w:val="center"/>
          </w:tcPr>
          <w:p w:rsidR="002C5566" w:rsidRPr="00A17498" w:rsidRDefault="002C5566" w:rsidP="00E233E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2C5566" w:rsidRPr="00A17498" w:rsidRDefault="002C5566" w:rsidP="00E233E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2C5566" w:rsidRPr="00A17498" w:rsidRDefault="002C5566" w:rsidP="00E233E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2C5566" w:rsidRPr="00A17498" w:rsidRDefault="002C5566" w:rsidP="00E233E9">
            <w:pPr>
              <w:pStyle w:val="BodyText"/>
              <w:spacing w:after="0"/>
              <w:rPr>
                <w:rFonts w:asciiTheme="minorHAnsi" w:hAnsiTheme="minorHAnsi" w:cstheme="minorHAnsi"/>
              </w:rPr>
            </w:pPr>
            <w:r>
              <w:rPr>
                <w:rFonts w:asciiTheme="minorHAnsi" w:hAnsiTheme="minorHAnsi" w:cstheme="minorHAnsi"/>
              </w:rPr>
              <w:t>SP1</w:t>
            </w:r>
          </w:p>
        </w:tc>
      </w:tr>
    </w:tbl>
    <w:p w:rsidR="002C5566" w:rsidRDefault="002C5566" w:rsidP="002C5566">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708"/>
        <w:gridCol w:w="1134"/>
        <w:gridCol w:w="567"/>
        <w:gridCol w:w="993"/>
      </w:tblGrid>
      <w:tr w:rsidR="004C08DA" w:rsidTr="00691C1F">
        <w:trPr>
          <w:trHeight w:val="283"/>
        </w:trPr>
        <w:tc>
          <w:tcPr>
            <w:tcW w:w="4820" w:type="dxa"/>
            <w:tcBorders>
              <w:top w:val="nil"/>
              <w:left w:val="nil"/>
              <w:bottom w:val="nil"/>
              <w:right w:val="nil"/>
            </w:tcBorders>
          </w:tcPr>
          <w:p w:rsidR="004C08DA" w:rsidRPr="00882F68" w:rsidRDefault="004C08DA" w:rsidP="004C08DA">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708" w:type="dxa"/>
            <w:tcBorders>
              <w:top w:val="nil"/>
              <w:left w:val="nil"/>
              <w:bottom w:val="nil"/>
            </w:tcBorders>
          </w:tcPr>
          <w:p w:rsidR="004C08DA" w:rsidRDefault="004C08DA" w:rsidP="004C08DA">
            <w:pPr>
              <w:pStyle w:val="TableParagraph"/>
              <w:spacing w:before="42"/>
              <w:rPr>
                <w:sz w:val="20"/>
              </w:rPr>
            </w:pPr>
            <w:r>
              <w:rPr>
                <w:sz w:val="20"/>
              </w:rPr>
              <w:t>Yes:</w:t>
            </w:r>
          </w:p>
        </w:tc>
        <w:tc>
          <w:tcPr>
            <w:tcW w:w="1134" w:type="dxa"/>
          </w:tcPr>
          <w:p w:rsidR="004C08DA" w:rsidRPr="00A17498" w:rsidRDefault="004C08DA" w:rsidP="004C08DA">
            <w:pPr>
              <w:pStyle w:val="ListParagraph"/>
              <w:spacing w:after="0"/>
              <w:contextualSpacing w:val="0"/>
              <w:rPr>
                <w:rFonts w:asciiTheme="minorHAnsi" w:hAnsiTheme="minorHAnsi" w:cstheme="minorHAnsi"/>
                <w:b/>
              </w:rPr>
            </w:pPr>
          </w:p>
        </w:tc>
        <w:tc>
          <w:tcPr>
            <w:tcW w:w="567" w:type="dxa"/>
            <w:tcBorders>
              <w:top w:val="nil"/>
              <w:bottom w:val="nil"/>
            </w:tcBorders>
          </w:tcPr>
          <w:p w:rsidR="004C08DA" w:rsidRDefault="004C08DA" w:rsidP="004C08DA">
            <w:pPr>
              <w:pStyle w:val="TableParagraph"/>
              <w:spacing w:before="42"/>
              <w:rPr>
                <w:sz w:val="20"/>
              </w:rPr>
            </w:pPr>
            <w:r>
              <w:rPr>
                <w:sz w:val="20"/>
              </w:rPr>
              <w:t>No:</w:t>
            </w:r>
          </w:p>
        </w:tc>
        <w:tc>
          <w:tcPr>
            <w:tcW w:w="993" w:type="dxa"/>
            <w:vAlign w:val="center"/>
          </w:tcPr>
          <w:p w:rsidR="004C08DA" w:rsidRPr="009C61AD" w:rsidRDefault="004C08DA" w:rsidP="004C08DA">
            <w:pPr>
              <w:pStyle w:val="ListParagraph"/>
              <w:spacing w:after="0"/>
              <w:contextualSpacing w:val="0"/>
              <w:rPr>
                <w:rFonts w:ascii="Verdana" w:hAnsi="Verdana" w:cs="Verdana"/>
                <w:color w:val="000000"/>
                <w:sz w:val="20"/>
                <w:szCs w:val="20"/>
              </w:rPr>
            </w:pPr>
            <w:r w:rsidRPr="004E1A00">
              <w:rPr>
                <w:rFonts w:asciiTheme="minorHAnsi" w:hAnsiTheme="minorHAnsi" w:cstheme="minorHAnsi"/>
                <w:b/>
              </w:rPr>
              <w:t>√</w:t>
            </w:r>
          </w:p>
        </w:tc>
      </w:tr>
    </w:tbl>
    <w:p w:rsidR="002C5566" w:rsidRPr="00864981" w:rsidRDefault="002C5566" w:rsidP="002C5566">
      <w:pPr>
        <w:pStyle w:val="Heading2"/>
        <w:spacing w:before="240" w:after="120"/>
        <w:rPr>
          <w:rFonts w:asciiTheme="minorHAnsi" w:eastAsiaTheme="minorHAnsi" w:hAnsiTheme="minorHAnsi" w:cstheme="minorHAnsi"/>
          <w:b/>
          <w:i/>
          <w:color w:val="0070C0"/>
          <w:sz w:val="28"/>
          <w:szCs w:val="28"/>
          <w:lang w:eastAsia="en-GB"/>
        </w:rPr>
      </w:pPr>
      <w:bookmarkStart w:id="8" w:name="_Toc65242895"/>
      <w:r w:rsidRPr="005307CB">
        <w:rPr>
          <w:rFonts w:asciiTheme="minorHAnsi" w:eastAsiaTheme="minorHAnsi" w:hAnsiTheme="minorHAnsi" w:cstheme="minorHAnsi"/>
          <w:b/>
          <w:i/>
          <w:color w:val="0070C0"/>
          <w:sz w:val="28"/>
          <w:szCs w:val="28"/>
          <w:lang w:eastAsia="en-GB"/>
        </w:rPr>
        <w:t>Details</w:t>
      </w:r>
      <w:bookmarkEnd w:id="8"/>
    </w:p>
    <w:p w:rsidR="008157E1" w:rsidRPr="00621B52" w:rsidRDefault="008157E1" w:rsidP="00493BF3">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szCs w:val="24"/>
        </w:rPr>
      </w:pPr>
      <w:r>
        <w:rPr>
          <w:rFonts w:asciiTheme="minorHAnsi" w:hAnsiTheme="minorHAnsi" w:cstheme="minorHAnsi"/>
          <w:color w:val="000000"/>
          <w:szCs w:val="24"/>
        </w:rPr>
        <w:t xml:space="preserve">The overwhelming importance of climate change considerations was recognised by Shropshire Council by its </w:t>
      </w:r>
      <w:r w:rsidRPr="00DF792F">
        <w:rPr>
          <w:rFonts w:asciiTheme="minorHAnsi" w:hAnsiTheme="minorHAnsi" w:cstheme="minorHAnsi"/>
          <w:color w:val="000000"/>
          <w:szCs w:val="24"/>
        </w:rPr>
        <w:t>decla</w:t>
      </w:r>
      <w:r>
        <w:rPr>
          <w:rFonts w:asciiTheme="minorHAnsi" w:hAnsiTheme="minorHAnsi" w:cstheme="minorHAnsi"/>
          <w:color w:val="000000"/>
          <w:szCs w:val="24"/>
        </w:rPr>
        <w:t>ra</w:t>
      </w:r>
      <w:r w:rsidRPr="00DF792F">
        <w:rPr>
          <w:rFonts w:asciiTheme="minorHAnsi" w:hAnsiTheme="minorHAnsi" w:cstheme="minorHAnsi"/>
          <w:color w:val="000000"/>
          <w:szCs w:val="24"/>
        </w:rPr>
        <w:t>tion of a climate emergency in May 2019</w:t>
      </w:r>
      <w:r>
        <w:rPr>
          <w:rFonts w:asciiTheme="minorHAnsi" w:hAnsiTheme="minorHAnsi" w:cstheme="minorHAnsi"/>
          <w:color w:val="000000"/>
          <w:szCs w:val="24"/>
        </w:rPr>
        <w:t>.  Surprisingly, this declaration is mentioned only twice in the whole Draft Plan</w:t>
      </w:r>
      <w:r>
        <w:rPr>
          <w:rStyle w:val="FootnoteReference"/>
          <w:rFonts w:asciiTheme="minorHAnsi" w:hAnsiTheme="minorHAnsi" w:cstheme="minorHAnsi"/>
          <w:color w:val="000000"/>
          <w:szCs w:val="24"/>
        </w:rPr>
        <w:footnoteReference w:id="2"/>
      </w:r>
      <w:r>
        <w:rPr>
          <w:rFonts w:asciiTheme="minorHAnsi" w:hAnsiTheme="minorHAnsi" w:cstheme="minorHAnsi"/>
          <w:color w:val="000000"/>
          <w:szCs w:val="24"/>
        </w:rPr>
        <w:t xml:space="preserve">.  There is therefore little sense of </w:t>
      </w:r>
      <w:r w:rsidRPr="00621B52">
        <w:rPr>
          <w:rFonts w:asciiTheme="minorHAnsi" w:hAnsiTheme="minorHAnsi" w:cstheme="minorHAnsi"/>
          <w:color w:val="000000"/>
          <w:szCs w:val="24"/>
          <w:u w:val="single"/>
        </w:rPr>
        <w:t>emergency</w:t>
      </w:r>
      <w:r>
        <w:rPr>
          <w:rFonts w:asciiTheme="minorHAnsi" w:hAnsiTheme="minorHAnsi" w:cstheme="minorHAnsi"/>
          <w:color w:val="000000"/>
          <w:szCs w:val="24"/>
        </w:rPr>
        <w:t xml:space="preserve"> within the Draft Plan.</w:t>
      </w:r>
    </w:p>
    <w:p w:rsidR="00FB3680" w:rsidRPr="00FB3680" w:rsidRDefault="00493BF3" w:rsidP="00FB3680">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sidRPr="00A12A2B">
        <w:rPr>
          <w:rFonts w:asciiTheme="minorHAnsi" w:hAnsiTheme="minorHAnsi" w:cstheme="minorHAnsi"/>
          <w:szCs w:val="24"/>
          <w:lang w:eastAsia="en-GB"/>
        </w:rPr>
        <w:t>Shropshire Council</w:t>
      </w:r>
      <w:r>
        <w:rPr>
          <w:rFonts w:asciiTheme="minorHAnsi" w:hAnsiTheme="minorHAnsi" w:cstheme="minorHAnsi"/>
          <w:szCs w:val="24"/>
          <w:lang w:eastAsia="en-GB"/>
        </w:rPr>
        <w:t>, in order to lead by example,</w:t>
      </w:r>
      <w:r w:rsidRPr="00A12A2B">
        <w:rPr>
          <w:rFonts w:asciiTheme="minorHAnsi" w:hAnsiTheme="minorHAnsi" w:cstheme="minorHAnsi"/>
          <w:szCs w:val="24"/>
          <w:lang w:eastAsia="en-GB"/>
        </w:rPr>
        <w:t xml:space="preserve"> was also </w:t>
      </w:r>
      <w:r w:rsidRPr="00A12A2B">
        <w:rPr>
          <w:rFonts w:ascii="Calibri" w:hAnsi="Calibri" w:cs="Calibri"/>
          <w:color w:val="201F1E"/>
          <w:szCs w:val="24"/>
          <w:shd w:val="clear" w:color="auto" w:fill="FFFFFF"/>
        </w:rPr>
        <w:t xml:space="preserve">one of the founders of the Shropshire Climate Action Partnership </w:t>
      </w:r>
      <w:r>
        <w:rPr>
          <w:rFonts w:ascii="Calibri" w:hAnsi="Calibri" w:cs="Calibri"/>
          <w:color w:val="201F1E"/>
          <w:szCs w:val="24"/>
          <w:shd w:val="clear" w:color="auto" w:fill="FFFFFF"/>
        </w:rPr>
        <w:t xml:space="preserve">(SCAP) </w:t>
      </w:r>
      <w:r w:rsidRPr="00A12A2B">
        <w:rPr>
          <w:rFonts w:ascii="Calibri" w:hAnsi="Calibri" w:cs="Calibri"/>
          <w:color w:val="201F1E"/>
          <w:szCs w:val="24"/>
          <w:shd w:val="clear" w:color="auto" w:fill="FFFFFF"/>
        </w:rPr>
        <w:t xml:space="preserve">and has strongly supported </w:t>
      </w:r>
      <w:r>
        <w:rPr>
          <w:rFonts w:ascii="Calibri" w:hAnsi="Calibri" w:cs="Calibri"/>
          <w:color w:val="201F1E"/>
          <w:szCs w:val="24"/>
          <w:shd w:val="clear" w:color="auto" w:fill="FFFFFF"/>
        </w:rPr>
        <w:t>SCAP’s</w:t>
      </w:r>
      <w:r w:rsidRPr="00A12A2B">
        <w:rPr>
          <w:rFonts w:ascii="Calibri" w:hAnsi="Calibri" w:cs="Calibri"/>
          <w:color w:val="201F1E"/>
          <w:szCs w:val="24"/>
          <w:shd w:val="clear" w:color="auto" w:fill="FFFFFF"/>
        </w:rPr>
        <w:t xml:space="preserve"> collective work to develop its Zero Carbon Shropshire </w:t>
      </w:r>
      <w:r>
        <w:rPr>
          <w:rFonts w:ascii="Calibri" w:hAnsi="Calibri" w:cs="Calibri"/>
          <w:color w:val="201F1E"/>
          <w:szCs w:val="24"/>
          <w:shd w:val="clear" w:color="auto" w:fill="FFFFFF"/>
        </w:rPr>
        <w:t xml:space="preserve">(ZCS) </w:t>
      </w:r>
      <w:r w:rsidRPr="00A12A2B">
        <w:rPr>
          <w:rFonts w:ascii="Calibri" w:hAnsi="Calibri" w:cs="Calibri"/>
          <w:color w:val="201F1E"/>
          <w:szCs w:val="24"/>
          <w:shd w:val="clear" w:color="auto" w:fill="FFFFFF"/>
        </w:rPr>
        <w:t>Plan</w:t>
      </w:r>
      <w:r>
        <w:rPr>
          <w:rStyle w:val="FootnoteReference"/>
          <w:rFonts w:ascii="Calibri" w:hAnsi="Calibri" w:cs="Calibri"/>
          <w:color w:val="201F1E"/>
          <w:szCs w:val="24"/>
          <w:shd w:val="clear" w:color="auto" w:fill="FFFFFF"/>
        </w:rPr>
        <w:footnoteReference w:id="3"/>
      </w:r>
      <w:r>
        <w:rPr>
          <w:rFonts w:ascii="Calibri" w:hAnsi="Calibri" w:cs="Calibri"/>
          <w:color w:val="201F1E"/>
          <w:szCs w:val="24"/>
          <w:shd w:val="clear" w:color="auto" w:fill="FFFFFF"/>
        </w:rPr>
        <w:t xml:space="preserve"> in</w:t>
      </w:r>
      <w:r w:rsidRPr="00A12A2B">
        <w:rPr>
          <w:rFonts w:ascii="Calibri" w:hAnsi="Calibri" w:cs="Calibri"/>
          <w:color w:val="201F1E"/>
          <w:szCs w:val="24"/>
          <w:shd w:val="clear" w:color="auto" w:fill="FFFFFF"/>
        </w:rPr>
        <w:t xml:space="preserve"> a very fast-moving area of work</w:t>
      </w:r>
      <w:r>
        <w:rPr>
          <w:rFonts w:ascii="Calibri" w:hAnsi="Calibri" w:cs="Calibri"/>
          <w:color w:val="201F1E"/>
          <w:szCs w:val="24"/>
          <w:shd w:val="clear" w:color="auto" w:fill="FFFFFF"/>
        </w:rPr>
        <w:t>.  Again, th</w:t>
      </w:r>
      <w:r w:rsidRPr="00FB3680">
        <w:rPr>
          <w:rFonts w:ascii="Calibri" w:hAnsi="Calibri" w:cs="Calibri"/>
          <w:color w:val="201F1E"/>
          <w:szCs w:val="24"/>
          <w:shd w:val="clear" w:color="auto" w:fill="FFFFFF"/>
        </w:rPr>
        <w:t xml:space="preserve">ere is no sense of the importance of this drive within the Spatial Vision at </w:t>
      </w:r>
      <w:r w:rsidR="00FB3680" w:rsidRPr="00FB3680">
        <w:rPr>
          <w:rFonts w:ascii="Calibri" w:hAnsi="Calibri" w:cs="Calibri"/>
          <w:color w:val="201F1E"/>
          <w:szCs w:val="24"/>
          <w:shd w:val="clear" w:color="auto" w:fill="FFFFFF"/>
        </w:rPr>
        <w:t>paragraph 2.31 or within the text of Policy SP1</w:t>
      </w:r>
      <w:r w:rsidR="00FB3680">
        <w:rPr>
          <w:rFonts w:ascii="Calibri" w:hAnsi="Calibri" w:cs="Calibri"/>
          <w:color w:val="201F1E"/>
          <w:szCs w:val="24"/>
          <w:shd w:val="clear" w:color="auto" w:fill="FFFFFF"/>
        </w:rPr>
        <w:t>.</w:t>
      </w:r>
    </w:p>
    <w:p w:rsidR="002C5566" w:rsidRPr="00FB3680" w:rsidRDefault="00FB3680" w:rsidP="00FB3680">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Calibri" w:hAnsi="Calibri" w:cs="Calibri"/>
          <w:color w:val="201F1E"/>
          <w:szCs w:val="24"/>
          <w:shd w:val="clear" w:color="auto" w:fill="FFFFFF"/>
        </w:rPr>
        <w:t>To that extent, policy SP1 is unsound.  We suggest that the Spatial Vision is incorporated within SP1 and that the text is amended to better reflect the over-riding importance of the climate emergency.</w:t>
      </w:r>
    </w:p>
    <w:p w:rsidR="002C5566" w:rsidRDefault="002C5566" w:rsidP="002C5566">
      <w:pPr>
        <w:pStyle w:val="Heading2"/>
        <w:keepNext w:val="0"/>
        <w:spacing w:before="240" w:after="120"/>
        <w:rPr>
          <w:rFonts w:asciiTheme="minorHAnsi" w:eastAsiaTheme="minorHAnsi" w:hAnsiTheme="minorHAnsi" w:cstheme="minorHAnsi"/>
          <w:b/>
          <w:i/>
          <w:color w:val="0070C0"/>
          <w:sz w:val="28"/>
          <w:szCs w:val="28"/>
          <w:lang w:eastAsia="en-GB"/>
        </w:rPr>
      </w:pPr>
      <w:bookmarkStart w:id="9" w:name="_Toc65242896"/>
      <w:r w:rsidRPr="005307CB">
        <w:rPr>
          <w:rFonts w:asciiTheme="minorHAnsi" w:eastAsiaTheme="minorHAnsi" w:hAnsiTheme="minorHAnsi" w:cstheme="minorHAnsi"/>
          <w:b/>
          <w:i/>
          <w:color w:val="0070C0"/>
          <w:sz w:val="28"/>
          <w:szCs w:val="28"/>
          <w:lang w:eastAsia="en-GB"/>
        </w:rPr>
        <w:t>Modification(s) considered necessary</w:t>
      </w:r>
      <w:bookmarkEnd w:id="9"/>
    </w:p>
    <w:p w:rsidR="00FB3680" w:rsidRPr="00FB3680" w:rsidRDefault="00FB3680" w:rsidP="00FB3680">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Calibri" w:hAnsi="Calibri" w:cs="Calibri"/>
          <w:color w:val="201F1E"/>
          <w:szCs w:val="24"/>
          <w:shd w:val="clear" w:color="auto" w:fill="FFFFFF"/>
        </w:rPr>
        <w:t>We provide suggested amendments to policy SP1 as follows:</w:t>
      </w:r>
    </w:p>
    <w:p w:rsidR="005458FB" w:rsidRDefault="005458FB" w:rsidP="005458FB">
      <w:pPr>
        <w:pStyle w:val="ListParagraph"/>
        <w:spacing w:before="240" w:line="300" w:lineRule="auto"/>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br w:type="page"/>
      </w:r>
    </w:p>
    <w:p w:rsidR="00FB3680" w:rsidRPr="00FB3680" w:rsidRDefault="00FB3680" w:rsidP="00FB3680">
      <w:pPr>
        <w:rPr>
          <w:rFonts w:eastAsiaTheme="minorHAnsi"/>
          <w:lang w:eastAsia="en-GB"/>
        </w:rPr>
      </w:pPr>
    </w:p>
    <w:tbl>
      <w:tblPr>
        <w:tblW w:w="9713" w:type="dxa"/>
        <w:tblBorders>
          <w:top w:val="nil"/>
          <w:left w:val="nil"/>
          <w:bottom w:val="nil"/>
          <w:right w:val="nil"/>
        </w:tblBorders>
        <w:tblLayout w:type="fixed"/>
        <w:tblLook w:val="0000" w:firstRow="0" w:lastRow="0" w:firstColumn="0" w:lastColumn="0" w:noHBand="0" w:noVBand="0"/>
      </w:tblPr>
      <w:tblGrid>
        <w:gridCol w:w="9713"/>
      </w:tblGrid>
      <w:tr w:rsidR="002C5566" w:rsidRPr="002C5566" w:rsidTr="005458FB">
        <w:tblPrEx>
          <w:tblCellMar>
            <w:top w:w="0" w:type="dxa"/>
            <w:bottom w:w="0" w:type="dxa"/>
          </w:tblCellMar>
        </w:tblPrEx>
        <w:trPr>
          <w:trHeight w:val="164"/>
        </w:trPr>
        <w:tc>
          <w:tcPr>
            <w:tcW w:w="9713" w:type="dxa"/>
            <w:tcBorders>
              <w:top w:val="single" w:sz="4" w:space="0" w:color="auto"/>
              <w:left w:val="single" w:sz="4" w:space="0" w:color="auto"/>
              <w:bottom w:val="single" w:sz="4" w:space="0" w:color="auto"/>
              <w:right w:val="single" w:sz="4" w:space="0" w:color="auto"/>
            </w:tcBorders>
          </w:tcPr>
          <w:p w:rsidR="002C5566" w:rsidRPr="002C5566" w:rsidRDefault="002C5566" w:rsidP="002C5566">
            <w:pPr>
              <w:autoSpaceDE w:val="0"/>
              <w:autoSpaceDN w:val="0"/>
              <w:adjustRightInd w:val="0"/>
              <w:rPr>
                <w:rFonts w:ascii="Arial" w:eastAsiaTheme="minorHAnsi" w:hAnsi="Arial" w:cs="Arial"/>
                <w:color w:val="000000"/>
                <w:sz w:val="32"/>
                <w:szCs w:val="32"/>
              </w:rPr>
            </w:pPr>
            <w:r w:rsidRPr="002C5566">
              <w:rPr>
                <w:rFonts w:ascii="Arial" w:eastAsiaTheme="minorHAnsi" w:hAnsi="Arial" w:cs="Arial"/>
                <w:b/>
                <w:bCs/>
                <w:color w:val="000000"/>
                <w:sz w:val="32"/>
                <w:szCs w:val="32"/>
              </w:rPr>
              <w:t xml:space="preserve">SP1. The Shropshire Test </w:t>
            </w:r>
          </w:p>
        </w:tc>
      </w:tr>
      <w:tr w:rsidR="002C5566" w:rsidRPr="002C5566" w:rsidTr="005458FB">
        <w:tblPrEx>
          <w:tblCellMar>
            <w:top w:w="0" w:type="dxa"/>
            <w:bottom w:w="0" w:type="dxa"/>
          </w:tblCellMar>
        </w:tblPrEx>
        <w:trPr>
          <w:trHeight w:val="5669"/>
        </w:trPr>
        <w:tc>
          <w:tcPr>
            <w:tcW w:w="9713" w:type="dxa"/>
            <w:tcBorders>
              <w:top w:val="single" w:sz="4" w:space="0" w:color="auto"/>
              <w:left w:val="single" w:sz="4" w:space="0" w:color="auto"/>
              <w:bottom w:val="single" w:sz="4" w:space="0" w:color="auto"/>
              <w:right w:val="single" w:sz="4" w:space="0" w:color="auto"/>
            </w:tcBorders>
          </w:tcPr>
          <w:p w:rsidR="004C08DA" w:rsidRDefault="00FB3680" w:rsidP="005458FB">
            <w:pPr>
              <w:autoSpaceDE w:val="0"/>
              <w:autoSpaceDN w:val="0"/>
              <w:adjustRightInd w:val="0"/>
              <w:spacing w:before="240" w:line="360" w:lineRule="auto"/>
              <w:rPr>
                <w:rFonts w:ascii="Arial" w:eastAsiaTheme="minorHAnsi" w:hAnsi="Arial" w:cs="Arial"/>
                <w:color w:val="000000"/>
                <w:sz w:val="22"/>
                <w:szCs w:val="22"/>
              </w:rPr>
            </w:pPr>
            <w:r>
              <w:rPr>
                <w:rFonts w:ascii="Arial" w:eastAsiaTheme="minorHAnsi" w:hAnsi="Arial" w:cs="Arial"/>
                <w:color w:val="000000"/>
                <w:sz w:val="22"/>
                <w:szCs w:val="22"/>
              </w:rPr>
              <w:t xml:space="preserve">The Spatial Vision for Shropshire </w:t>
            </w:r>
            <w:r w:rsidR="007C3CCE">
              <w:rPr>
                <w:rFonts w:ascii="Arial" w:eastAsiaTheme="minorHAnsi" w:hAnsi="Arial" w:cs="Arial"/>
                <w:color w:val="000000"/>
                <w:sz w:val="22"/>
                <w:szCs w:val="22"/>
              </w:rPr>
              <w:t xml:space="preserve">is that: </w:t>
            </w:r>
            <w:r w:rsidRPr="00FB3680">
              <w:rPr>
                <w:rFonts w:ascii="Arial" w:eastAsiaTheme="minorHAnsi" w:hAnsi="Arial" w:cs="Arial"/>
                <w:color w:val="000000"/>
                <w:sz w:val="22"/>
                <w:szCs w:val="22"/>
              </w:rPr>
              <w:t xml:space="preserve">In 2038, communities will be safe and healthy </w:t>
            </w:r>
            <w:r w:rsidR="007C3CCE">
              <w:rPr>
                <w:rFonts w:ascii="Arial" w:eastAsiaTheme="minorHAnsi" w:hAnsi="Arial" w:cs="Arial"/>
                <w:color w:val="000000"/>
                <w:sz w:val="22"/>
                <w:szCs w:val="22"/>
              </w:rPr>
              <w:t>after</w:t>
            </w:r>
            <w:r w:rsidRPr="00FB3680">
              <w:rPr>
                <w:rFonts w:ascii="Arial" w:eastAsiaTheme="minorHAnsi" w:hAnsi="Arial" w:cs="Arial"/>
                <w:color w:val="000000"/>
                <w:sz w:val="22"/>
                <w:szCs w:val="22"/>
              </w:rPr>
              <w:t xml:space="preserve"> Shropshire </w:t>
            </w:r>
            <w:r w:rsidR="007C3CCE">
              <w:rPr>
                <w:rFonts w:ascii="Arial" w:eastAsiaTheme="minorHAnsi" w:hAnsi="Arial" w:cs="Arial"/>
                <w:color w:val="000000"/>
                <w:sz w:val="22"/>
                <w:szCs w:val="22"/>
              </w:rPr>
              <w:t>has moved</w:t>
            </w:r>
            <w:r w:rsidRPr="00FB3680">
              <w:rPr>
                <w:rFonts w:ascii="Arial" w:eastAsiaTheme="minorHAnsi" w:hAnsi="Arial" w:cs="Arial"/>
                <w:color w:val="000000"/>
                <w:sz w:val="22"/>
                <w:szCs w:val="22"/>
              </w:rPr>
              <w:t xml:space="preserve"> </w:t>
            </w:r>
            <w:r w:rsidR="007C3CCE">
              <w:rPr>
                <w:rFonts w:ascii="Arial" w:eastAsiaTheme="minorHAnsi" w:hAnsi="Arial" w:cs="Arial"/>
                <w:color w:val="000000"/>
                <w:sz w:val="22"/>
                <w:szCs w:val="22"/>
              </w:rPr>
              <w:t>to</w:t>
            </w:r>
            <w:r w:rsidRPr="00FB3680">
              <w:rPr>
                <w:rFonts w:ascii="Arial" w:eastAsiaTheme="minorHAnsi" w:hAnsi="Arial" w:cs="Arial"/>
                <w:color w:val="000000"/>
                <w:sz w:val="22"/>
                <w:szCs w:val="22"/>
              </w:rPr>
              <w:t xml:space="preserve"> a zero carbon economy</w:t>
            </w:r>
            <w:r w:rsidR="007C3CCE">
              <w:rPr>
                <w:rFonts w:ascii="Arial" w:eastAsiaTheme="minorHAnsi" w:hAnsi="Arial" w:cs="Arial"/>
                <w:color w:val="000000"/>
                <w:sz w:val="22"/>
                <w:szCs w:val="22"/>
              </w:rPr>
              <w:t xml:space="preserve"> by 2030</w:t>
            </w:r>
            <w:r w:rsidRPr="00FB3680">
              <w:rPr>
                <w:rFonts w:ascii="Arial" w:eastAsiaTheme="minorHAnsi" w:hAnsi="Arial" w:cs="Arial"/>
                <w:color w:val="000000"/>
                <w:sz w:val="22"/>
                <w:szCs w:val="22"/>
              </w:rPr>
              <w:t>; all residents will be able to access well-designed, decent</w:t>
            </w:r>
            <w:r w:rsidR="004C08DA">
              <w:rPr>
                <w:rFonts w:ascii="Arial" w:eastAsiaTheme="minorHAnsi" w:hAnsi="Arial" w:cs="Arial"/>
                <w:color w:val="000000"/>
                <w:sz w:val="22"/>
                <w:szCs w:val="22"/>
              </w:rPr>
              <w:t>, zero carbon</w:t>
            </w:r>
            <w:r w:rsidRPr="00FB3680">
              <w:rPr>
                <w:rFonts w:ascii="Arial" w:eastAsiaTheme="minorHAnsi" w:hAnsi="Arial" w:cs="Arial"/>
                <w:color w:val="000000"/>
                <w:sz w:val="22"/>
                <w:szCs w:val="22"/>
              </w:rPr>
              <w:t xml:space="preserve"> and affordable homes in the right location; economic productivity will be </w:t>
            </w:r>
            <w:r w:rsidR="007C3CCE">
              <w:rPr>
                <w:rFonts w:ascii="Arial" w:eastAsiaTheme="minorHAnsi" w:hAnsi="Arial" w:cs="Arial"/>
                <w:color w:val="000000"/>
                <w:sz w:val="22"/>
                <w:szCs w:val="22"/>
              </w:rPr>
              <w:t>opt</w:t>
            </w:r>
            <w:r w:rsidRPr="00FB3680">
              <w:rPr>
                <w:rFonts w:ascii="Arial" w:eastAsiaTheme="minorHAnsi" w:hAnsi="Arial" w:cs="Arial"/>
                <w:color w:val="000000"/>
                <w:sz w:val="22"/>
                <w:szCs w:val="22"/>
              </w:rPr>
              <w:t xml:space="preserve">imised </w:t>
            </w:r>
            <w:r w:rsidR="004C08DA">
              <w:rPr>
                <w:rFonts w:ascii="Arial" w:eastAsiaTheme="minorHAnsi" w:hAnsi="Arial" w:cs="Arial"/>
                <w:color w:val="000000"/>
                <w:sz w:val="22"/>
                <w:szCs w:val="22"/>
              </w:rPr>
              <w:t xml:space="preserve">consistent with zero carbon aims </w:t>
            </w:r>
            <w:r w:rsidRPr="00FB3680">
              <w:rPr>
                <w:rFonts w:ascii="Arial" w:eastAsiaTheme="minorHAnsi" w:hAnsi="Arial" w:cs="Arial"/>
                <w:color w:val="000000"/>
                <w:sz w:val="22"/>
                <w:szCs w:val="22"/>
              </w:rPr>
              <w:t xml:space="preserve">through greater investment; and the County’s historic and natural environmental assets will be </w:t>
            </w:r>
            <w:r>
              <w:rPr>
                <w:rFonts w:ascii="Arial" w:eastAsiaTheme="minorHAnsi" w:hAnsi="Arial" w:cs="Arial"/>
                <w:color w:val="000000"/>
                <w:sz w:val="22"/>
                <w:szCs w:val="22"/>
              </w:rPr>
              <w:t>protected and enhanced</w:t>
            </w:r>
            <w:r w:rsidR="004C08DA">
              <w:rPr>
                <w:rFonts w:ascii="Arial" w:eastAsiaTheme="minorHAnsi" w:hAnsi="Arial" w:cs="Arial"/>
                <w:color w:val="000000"/>
                <w:sz w:val="22"/>
                <w:szCs w:val="22"/>
              </w:rPr>
              <w:t>.</w:t>
            </w:r>
          </w:p>
          <w:p w:rsidR="00FB3680" w:rsidRPr="002C5566" w:rsidRDefault="007C3CCE" w:rsidP="005458FB">
            <w:pPr>
              <w:autoSpaceDE w:val="0"/>
              <w:autoSpaceDN w:val="0"/>
              <w:adjustRightInd w:val="0"/>
              <w:spacing w:before="240" w:line="360" w:lineRule="auto"/>
              <w:rPr>
                <w:rFonts w:ascii="Arial" w:eastAsiaTheme="minorHAnsi" w:hAnsi="Arial" w:cs="Arial"/>
                <w:sz w:val="22"/>
                <w:szCs w:val="22"/>
              </w:rPr>
            </w:pPr>
            <w:r>
              <w:rPr>
                <w:rFonts w:ascii="Arial" w:eastAsiaTheme="minorHAnsi" w:hAnsi="Arial" w:cs="Arial"/>
                <w:color w:val="000000"/>
                <w:sz w:val="22"/>
                <w:szCs w:val="22"/>
              </w:rPr>
              <w:t>In line with this Vision:</w:t>
            </w:r>
          </w:p>
          <w:p w:rsidR="002C5566" w:rsidRPr="002C5566" w:rsidRDefault="002C5566" w:rsidP="005458FB">
            <w:pPr>
              <w:autoSpaceDE w:val="0"/>
              <w:autoSpaceDN w:val="0"/>
              <w:adjustRightInd w:val="0"/>
              <w:spacing w:before="240" w:line="360" w:lineRule="auto"/>
              <w:ind w:left="284" w:hanging="284"/>
              <w:rPr>
                <w:rFonts w:ascii="Arial" w:eastAsiaTheme="minorHAnsi" w:hAnsi="Arial" w:cs="Arial"/>
                <w:color w:val="000000"/>
                <w:sz w:val="22"/>
                <w:szCs w:val="22"/>
              </w:rPr>
            </w:pPr>
            <w:r w:rsidRPr="002C5566">
              <w:rPr>
                <w:rFonts w:ascii="Arial" w:eastAsiaTheme="minorHAnsi" w:hAnsi="Arial" w:cs="Arial"/>
                <w:color w:val="000000"/>
                <w:sz w:val="22"/>
                <w:szCs w:val="22"/>
              </w:rPr>
              <w:t xml:space="preserve">1. Development will contribute to meeting local needs and making its settlements more sustainable, providing the right mix of new housing, employment and other types of development which: </w:t>
            </w:r>
          </w:p>
          <w:p w:rsidR="002C5566" w:rsidRPr="002C5566" w:rsidRDefault="002C5566" w:rsidP="007C3CCE">
            <w:pPr>
              <w:autoSpaceDE w:val="0"/>
              <w:autoSpaceDN w:val="0"/>
              <w:adjustRightInd w:val="0"/>
              <w:spacing w:line="360" w:lineRule="auto"/>
              <w:ind w:left="567" w:hanging="283"/>
              <w:rPr>
                <w:rFonts w:ascii="Arial" w:eastAsiaTheme="minorHAnsi" w:hAnsi="Arial" w:cs="Arial"/>
                <w:color w:val="000000"/>
                <w:sz w:val="22"/>
                <w:szCs w:val="22"/>
              </w:rPr>
            </w:pPr>
            <w:r w:rsidRPr="002C5566">
              <w:rPr>
                <w:rFonts w:ascii="Arial" w:eastAsiaTheme="minorHAnsi" w:hAnsi="Arial" w:cs="Arial"/>
                <w:color w:val="000000"/>
                <w:sz w:val="22"/>
                <w:szCs w:val="22"/>
              </w:rPr>
              <w:t xml:space="preserve">a. Supports the health, well-being and safety of communities; </w:t>
            </w:r>
          </w:p>
          <w:p w:rsidR="002C5566" w:rsidRPr="002C5566" w:rsidRDefault="002C5566" w:rsidP="007C3CCE">
            <w:pPr>
              <w:autoSpaceDE w:val="0"/>
              <w:autoSpaceDN w:val="0"/>
              <w:adjustRightInd w:val="0"/>
              <w:spacing w:line="360" w:lineRule="auto"/>
              <w:ind w:left="567" w:hanging="283"/>
              <w:rPr>
                <w:rFonts w:ascii="Arial" w:eastAsiaTheme="minorHAnsi" w:hAnsi="Arial" w:cs="Arial"/>
                <w:color w:val="000000"/>
                <w:sz w:val="22"/>
                <w:szCs w:val="22"/>
              </w:rPr>
            </w:pPr>
            <w:r w:rsidRPr="002C5566">
              <w:rPr>
                <w:rFonts w:ascii="Arial" w:eastAsiaTheme="minorHAnsi" w:hAnsi="Arial" w:cs="Arial"/>
                <w:color w:val="000000"/>
                <w:sz w:val="22"/>
                <w:szCs w:val="22"/>
              </w:rPr>
              <w:t xml:space="preserve">b. Supports cohesive communities; </w:t>
            </w:r>
          </w:p>
          <w:p w:rsidR="002C5566" w:rsidRPr="002C5566" w:rsidRDefault="002C5566" w:rsidP="007C3CCE">
            <w:pPr>
              <w:autoSpaceDE w:val="0"/>
              <w:autoSpaceDN w:val="0"/>
              <w:adjustRightInd w:val="0"/>
              <w:spacing w:line="360" w:lineRule="auto"/>
              <w:ind w:left="567" w:hanging="283"/>
              <w:rPr>
                <w:rFonts w:ascii="Arial" w:eastAsiaTheme="minorHAnsi" w:hAnsi="Arial" w:cs="Arial"/>
                <w:color w:val="000000"/>
                <w:sz w:val="22"/>
                <w:szCs w:val="22"/>
              </w:rPr>
            </w:pPr>
            <w:r w:rsidRPr="002C5566">
              <w:rPr>
                <w:rFonts w:ascii="Arial" w:eastAsiaTheme="minorHAnsi" w:hAnsi="Arial" w:cs="Arial"/>
                <w:color w:val="000000"/>
                <w:sz w:val="22"/>
                <w:szCs w:val="22"/>
              </w:rPr>
              <w:t>c. Addresses the causes and mitigates the impacts of cl</w:t>
            </w:r>
            <w:r w:rsidR="007C3CCE">
              <w:rPr>
                <w:rFonts w:ascii="Arial" w:eastAsiaTheme="minorHAnsi" w:hAnsi="Arial" w:cs="Arial"/>
                <w:color w:val="000000"/>
                <w:sz w:val="22"/>
                <w:szCs w:val="22"/>
              </w:rPr>
              <w:t xml:space="preserve">imate change, including the </w:t>
            </w:r>
            <w:r w:rsidR="007C3CCE" w:rsidRPr="007C3CCE">
              <w:rPr>
                <w:rFonts w:ascii="Arial" w:eastAsiaTheme="minorHAnsi" w:hAnsi="Arial" w:cs="Arial"/>
                <w:color w:val="000000"/>
                <w:sz w:val="22"/>
                <w:szCs w:val="22"/>
              </w:rPr>
              <w:t>need f</w:t>
            </w:r>
            <w:r w:rsidR="004C08DA">
              <w:rPr>
                <w:rFonts w:ascii="Arial" w:eastAsiaTheme="minorHAnsi" w:hAnsi="Arial" w:cs="Arial"/>
                <w:color w:val="000000"/>
                <w:sz w:val="22"/>
                <w:szCs w:val="22"/>
              </w:rPr>
              <w:t>or all new development to be zero carbon by</w:t>
            </w:r>
            <w:r w:rsidR="007C3CCE" w:rsidRPr="007C3CCE">
              <w:rPr>
                <w:rFonts w:ascii="Arial" w:eastAsiaTheme="minorHAnsi" w:hAnsi="Arial" w:cs="Arial"/>
                <w:color w:val="000000"/>
                <w:sz w:val="22"/>
                <w:szCs w:val="22"/>
              </w:rPr>
              <w:t xml:space="preserve"> 2030</w:t>
            </w:r>
            <w:r w:rsidR="007C3CCE">
              <w:rPr>
                <w:rFonts w:ascii="Arial" w:eastAsiaTheme="minorHAnsi" w:hAnsi="Arial" w:cs="Arial"/>
                <w:color w:val="000000"/>
                <w:sz w:val="22"/>
                <w:szCs w:val="22"/>
              </w:rPr>
              <w:t>;</w:t>
            </w:r>
          </w:p>
          <w:p w:rsidR="002C5566" w:rsidRPr="002C5566" w:rsidRDefault="002C5566" w:rsidP="007C3CCE">
            <w:pPr>
              <w:autoSpaceDE w:val="0"/>
              <w:autoSpaceDN w:val="0"/>
              <w:adjustRightInd w:val="0"/>
              <w:spacing w:line="360" w:lineRule="auto"/>
              <w:ind w:left="567" w:hanging="283"/>
              <w:rPr>
                <w:rFonts w:ascii="Arial" w:eastAsiaTheme="minorHAnsi" w:hAnsi="Arial" w:cs="Arial"/>
                <w:color w:val="000000"/>
                <w:sz w:val="22"/>
                <w:szCs w:val="22"/>
              </w:rPr>
            </w:pPr>
            <w:r w:rsidRPr="002C5566">
              <w:rPr>
                <w:rFonts w:ascii="Arial" w:eastAsiaTheme="minorHAnsi" w:hAnsi="Arial" w:cs="Arial"/>
                <w:color w:val="000000"/>
                <w:sz w:val="22"/>
                <w:szCs w:val="22"/>
              </w:rPr>
              <w:t xml:space="preserve">d. Conserves and enhances the high-quality natural environment and provides opportunities </w:t>
            </w:r>
            <w:r w:rsidR="005458FB">
              <w:rPr>
                <w:rFonts w:ascii="Arial" w:eastAsiaTheme="minorHAnsi" w:hAnsi="Arial" w:cs="Arial"/>
                <w:color w:val="000000"/>
                <w:sz w:val="22"/>
                <w:szCs w:val="22"/>
              </w:rPr>
              <w:t>to optimise</w:t>
            </w:r>
            <w:r w:rsidRPr="002C5566">
              <w:rPr>
                <w:rFonts w:ascii="Arial" w:eastAsiaTheme="minorHAnsi" w:hAnsi="Arial" w:cs="Arial"/>
                <w:color w:val="000000"/>
                <w:sz w:val="22"/>
                <w:szCs w:val="22"/>
              </w:rPr>
              <w:t xml:space="preserve"> green and blue networks; </w:t>
            </w:r>
          </w:p>
          <w:p w:rsidR="002C5566" w:rsidRPr="002C5566" w:rsidRDefault="002C5566" w:rsidP="007C3CCE">
            <w:pPr>
              <w:autoSpaceDE w:val="0"/>
              <w:autoSpaceDN w:val="0"/>
              <w:adjustRightInd w:val="0"/>
              <w:spacing w:line="360" w:lineRule="auto"/>
              <w:ind w:left="567" w:hanging="283"/>
              <w:rPr>
                <w:rFonts w:ascii="Arial" w:eastAsia="ArialMT" w:hAnsi="Arial" w:cs="Arial"/>
                <w:color w:val="000000"/>
                <w:sz w:val="22"/>
                <w:szCs w:val="22"/>
              </w:rPr>
            </w:pPr>
            <w:r w:rsidRPr="002C5566">
              <w:rPr>
                <w:rFonts w:ascii="Arial" w:eastAsiaTheme="minorHAnsi" w:hAnsi="Arial" w:cs="Arial"/>
                <w:color w:val="000000"/>
                <w:sz w:val="22"/>
                <w:szCs w:val="22"/>
              </w:rPr>
              <w:t xml:space="preserve">e. </w:t>
            </w:r>
            <w:r w:rsidRPr="002C5566">
              <w:rPr>
                <w:rFonts w:ascii="Arial" w:eastAsia="ArialMT" w:hAnsi="Arial" w:cs="Arial"/>
                <w:color w:val="000000"/>
                <w:sz w:val="22"/>
                <w:szCs w:val="22"/>
              </w:rPr>
              <w:t xml:space="preserve">Raises design standards and enhances the area’s character and historic environment; </w:t>
            </w:r>
          </w:p>
          <w:p w:rsidR="002C5566" w:rsidRPr="002C5566" w:rsidRDefault="002C5566" w:rsidP="007C3CCE">
            <w:pPr>
              <w:autoSpaceDE w:val="0"/>
              <w:autoSpaceDN w:val="0"/>
              <w:adjustRightInd w:val="0"/>
              <w:spacing w:line="360" w:lineRule="auto"/>
              <w:ind w:left="567" w:hanging="283"/>
              <w:rPr>
                <w:rFonts w:ascii="Arial" w:eastAsia="ArialMT" w:hAnsi="Arial" w:cs="Arial"/>
                <w:color w:val="000000"/>
                <w:sz w:val="22"/>
                <w:szCs w:val="22"/>
              </w:rPr>
            </w:pPr>
            <w:r w:rsidRPr="002C5566">
              <w:rPr>
                <w:rFonts w:ascii="Arial" w:eastAsia="ArialMT" w:hAnsi="Arial" w:cs="Arial"/>
                <w:color w:val="000000"/>
                <w:sz w:val="22"/>
                <w:szCs w:val="22"/>
              </w:rPr>
              <w:t xml:space="preserve">f. Makes efficient use of land; and </w:t>
            </w:r>
          </w:p>
          <w:p w:rsidR="002C5566" w:rsidRPr="002C5566" w:rsidRDefault="002C5566" w:rsidP="007C3CCE">
            <w:pPr>
              <w:autoSpaceDE w:val="0"/>
              <w:autoSpaceDN w:val="0"/>
              <w:adjustRightInd w:val="0"/>
              <w:spacing w:line="360" w:lineRule="auto"/>
              <w:ind w:left="567" w:hanging="283"/>
              <w:rPr>
                <w:rFonts w:ascii="Arial" w:eastAsia="ArialMT" w:hAnsi="Arial" w:cs="Arial"/>
                <w:color w:val="000000"/>
                <w:sz w:val="22"/>
                <w:szCs w:val="22"/>
              </w:rPr>
            </w:pPr>
            <w:r w:rsidRPr="002C5566">
              <w:rPr>
                <w:rFonts w:ascii="Arial" w:eastAsia="ArialMT" w:hAnsi="Arial" w:cs="Arial"/>
                <w:color w:val="000000"/>
                <w:sz w:val="22"/>
                <w:szCs w:val="22"/>
              </w:rPr>
              <w:t xml:space="preserve">g. Provides sufficient infrastructure, services, facilities, and where necessary provides opportunities for their enhancement. </w:t>
            </w:r>
          </w:p>
          <w:p w:rsidR="007C3CCE" w:rsidRPr="005458FB" w:rsidRDefault="002C5566" w:rsidP="005458FB">
            <w:pPr>
              <w:autoSpaceDE w:val="0"/>
              <w:autoSpaceDN w:val="0"/>
              <w:adjustRightInd w:val="0"/>
              <w:spacing w:before="240" w:line="360" w:lineRule="auto"/>
              <w:ind w:left="284" w:hanging="284"/>
              <w:rPr>
                <w:rFonts w:ascii="Arial" w:eastAsia="ArialMT" w:hAnsi="Arial" w:cs="Arial"/>
                <w:color w:val="000000"/>
                <w:sz w:val="22"/>
                <w:szCs w:val="22"/>
              </w:rPr>
            </w:pPr>
            <w:r w:rsidRPr="002C5566">
              <w:rPr>
                <w:rFonts w:ascii="Arial" w:eastAsia="ArialMT" w:hAnsi="Arial" w:cs="Arial"/>
                <w:color w:val="000000"/>
                <w:sz w:val="22"/>
                <w:szCs w:val="22"/>
              </w:rPr>
              <w:t xml:space="preserve">2. </w:t>
            </w:r>
            <w:r w:rsidRPr="002C5566">
              <w:rPr>
                <w:rFonts w:ascii="Arial" w:eastAsiaTheme="minorHAnsi" w:hAnsi="Arial" w:cs="Arial"/>
                <w:color w:val="000000"/>
                <w:sz w:val="22"/>
                <w:szCs w:val="22"/>
              </w:rPr>
              <w:t>In</w:t>
            </w:r>
            <w:r w:rsidRPr="002C5566">
              <w:rPr>
                <w:rFonts w:ascii="Arial" w:eastAsia="ArialMT" w:hAnsi="Arial" w:cs="Arial"/>
                <w:color w:val="000000"/>
                <w:sz w:val="22"/>
                <w:szCs w:val="22"/>
              </w:rPr>
              <w:t xml:space="preserve"> addition, and where appropriate, proposals should seek to reflect relevant considerations of Shropshire Council’s </w:t>
            </w:r>
            <w:r w:rsidR="00490E7C">
              <w:rPr>
                <w:rFonts w:ascii="Arial" w:eastAsia="ArialMT" w:hAnsi="Arial" w:cs="Arial"/>
                <w:color w:val="000000"/>
                <w:sz w:val="22"/>
                <w:szCs w:val="22"/>
              </w:rPr>
              <w:t xml:space="preserve">objectives for </w:t>
            </w:r>
            <w:r w:rsidR="007C3CCE" w:rsidRPr="005458FB">
              <w:rPr>
                <w:rFonts w:ascii="Arial" w:eastAsia="ArialMT" w:hAnsi="Arial" w:cs="Arial"/>
                <w:color w:val="000000"/>
                <w:sz w:val="22"/>
                <w:szCs w:val="22"/>
              </w:rPr>
              <w:t>zero carbon Shropshire by 2030</w:t>
            </w:r>
            <w:r w:rsidR="005458FB">
              <w:rPr>
                <w:rFonts w:ascii="Arial" w:eastAsia="ArialMT" w:hAnsi="Arial" w:cs="Arial"/>
                <w:color w:val="000000"/>
                <w:sz w:val="22"/>
                <w:szCs w:val="22"/>
              </w:rPr>
              <w:t xml:space="preserve"> (including those within Shropshire Climate Action Partnership’s Zero Carbon Shropshire Plan)</w:t>
            </w:r>
            <w:r w:rsidR="007C3CCE" w:rsidRPr="005458FB">
              <w:rPr>
                <w:rFonts w:ascii="Arial" w:eastAsia="ArialMT" w:hAnsi="Arial" w:cs="Arial"/>
                <w:color w:val="000000"/>
                <w:sz w:val="22"/>
                <w:szCs w:val="22"/>
              </w:rPr>
              <w:t xml:space="preserve">, and </w:t>
            </w:r>
            <w:r w:rsidRPr="002C5566">
              <w:rPr>
                <w:rFonts w:ascii="Arial" w:eastAsia="ArialMT" w:hAnsi="Arial" w:cs="Arial"/>
                <w:color w:val="000000"/>
                <w:sz w:val="22"/>
                <w:szCs w:val="22"/>
              </w:rPr>
              <w:t xml:space="preserve">other strategies, including its Community Led Plans, Local Economic Growth Strategies (including the Shrewsbury Big Town Plan), the Local Transport Plan, and the Public Health Strategy. </w:t>
            </w:r>
          </w:p>
          <w:p w:rsidR="007C3CCE" w:rsidRPr="002C5566" w:rsidRDefault="007C3CCE" w:rsidP="002C5566">
            <w:pPr>
              <w:autoSpaceDE w:val="0"/>
              <w:autoSpaceDN w:val="0"/>
              <w:adjustRightInd w:val="0"/>
              <w:rPr>
                <w:rFonts w:ascii="Arial" w:eastAsia="ArialMT" w:hAnsi="Arial" w:cs="Arial"/>
                <w:color w:val="000000"/>
                <w:sz w:val="23"/>
                <w:szCs w:val="23"/>
              </w:rPr>
            </w:pPr>
          </w:p>
        </w:tc>
      </w:tr>
    </w:tbl>
    <w:p w:rsidR="002C5566" w:rsidRPr="005458FB" w:rsidRDefault="002C5566" w:rsidP="005458FB">
      <w:pPr>
        <w:pStyle w:val="ListParagraph"/>
        <w:spacing w:before="240" w:line="300" w:lineRule="auto"/>
        <w:contextualSpacing w:val="0"/>
        <w:textAlignment w:val="baseline"/>
        <w:rPr>
          <w:rFonts w:asciiTheme="minorHAnsi" w:hAnsiTheme="minorHAnsi" w:cstheme="minorHAnsi"/>
          <w:szCs w:val="24"/>
          <w:lang w:eastAsia="en-GB"/>
        </w:rPr>
      </w:pPr>
    </w:p>
    <w:p w:rsidR="002C5566" w:rsidRDefault="002C5566" w:rsidP="002C5566">
      <w:pPr>
        <w:pStyle w:val="ListParagraph"/>
        <w:spacing w:before="240" w:after="240"/>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br w:type="page"/>
      </w:r>
    </w:p>
    <w:p w:rsidR="00885951" w:rsidRPr="002C5566" w:rsidRDefault="00194CB9" w:rsidP="00E233E9">
      <w:pPr>
        <w:pStyle w:val="ListParagraph"/>
        <w:numPr>
          <w:ilvl w:val="0"/>
          <w:numId w:val="1"/>
        </w:numPr>
        <w:autoSpaceDE w:val="0"/>
        <w:autoSpaceDN w:val="0"/>
        <w:adjustRightInd w:val="0"/>
        <w:spacing w:before="360" w:after="240"/>
        <w:ind w:left="0" w:right="-45" w:hanging="567"/>
        <w:contextualSpacing w:val="0"/>
        <w:textAlignment w:val="baseline"/>
        <w:outlineLvl w:val="0"/>
        <w:rPr>
          <w:rFonts w:asciiTheme="minorHAnsi" w:hAnsiTheme="minorHAnsi" w:cstheme="minorHAnsi"/>
          <w:b/>
          <w:color w:val="0070C0"/>
          <w:sz w:val="36"/>
          <w:szCs w:val="36"/>
          <w:lang w:eastAsia="en-GB"/>
        </w:rPr>
      </w:pPr>
      <w:bookmarkStart w:id="10" w:name="_Toc65242897"/>
      <w:r w:rsidRPr="002C5566">
        <w:rPr>
          <w:rFonts w:asciiTheme="minorHAnsi" w:hAnsiTheme="minorHAnsi" w:cstheme="minorHAnsi"/>
          <w:b/>
          <w:color w:val="0070C0"/>
          <w:sz w:val="36"/>
          <w:szCs w:val="36"/>
          <w:lang w:eastAsia="en-GB"/>
        </w:rPr>
        <w:lastRenderedPageBreak/>
        <w:t>SP2 Strategic A</w:t>
      </w:r>
      <w:r w:rsidR="000068AF" w:rsidRPr="002C5566">
        <w:rPr>
          <w:rFonts w:asciiTheme="minorHAnsi" w:hAnsiTheme="minorHAnsi" w:cstheme="minorHAnsi"/>
          <w:b/>
          <w:color w:val="0070C0"/>
          <w:sz w:val="36"/>
          <w:szCs w:val="36"/>
          <w:lang w:eastAsia="en-GB"/>
        </w:rPr>
        <w:t>pproach and the</w:t>
      </w:r>
      <w:r w:rsidRPr="002C5566">
        <w:rPr>
          <w:rFonts w:asciiTheme="minorHAnsi" w:hAnsiTheme="minorHAnsi" w:cstheme="minorHAnsi"/>
          <w:b/>
          <w:color w:val="0070C0"/>
          <w:sz w:val="36"/>
          <w:szCs w:val="36"/>
          <w:lang w:eastAsia="en-GB"/>
        </w:rPr>
        <w:t xml:space="preserve"> </w:t>
      </w:r>
      <w:r w:rsidR="0071171F" w:rsidRPr="002C5566">
        <w:rPr>
          <w:rFonts w:asciiTheme="minorHAnsi" w:hAnsiTheme="minorHAnsi" w:cstheme="minorHAnsi"/>
          <w:b/>
          <w:color w:val="0070C0"/>
          <w:sz w:val="36"/>
          <w:szCs w:val="36"/>
          <w:lang w:eastAsia="en-GB"/>
        </w:rPr>
        <w:t>Climate Emergency</w:t>
      </w:r>
      <w:bookmarkEnd w:id="10"/>
      <w:r w:rsidRPr="002C5566">
        <w:rPr>
          <w:rFonts w:asciiTheme="minorHAnsi" w:hAnsiTheme="minorHAnsi" w:cstheme="minorHAnsi"/>
          <w:b/>
          <w:color w:val="0070C0"/>
          <w:sz w:val="36"/>
          <w:szCs w:val="36"/>
          <w:lang w:eastAsia="en-GB"/>
        </w:rPr>
        <w:t xml:space="preserve"> </w:t>
      </w:r>
    </w:p>
    <w:p w:rsidR="00B5210F" w:rsidRPr="00FE2663" w:rsidRDefault="00B5210F" w:rsidP="00B5210F">
      <w:pPr>
        <w:keepNext/>
        <w:spacing w:before="24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B5210F" w:rsidRPr="00FE2663" w:rsidRDefault="00B5210F" w:rsidP="00B5210F">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B5210F" w:rsidRPr="00A17498" w:rsidTr="001D3202">
        <w:trPr>
          <w:trHeight w:val="283"/>
        </w:trPr>
        <w:tc>
          <w:tcPr>
            <w:tcW w:w="567" w:type="dxa"/>
            <w:tcBorders>
              <w:right w:val="single" w:sz="4" w:space="0" w:color="auto"/>
            </w:tcBorders>
            <w:vAlign w:val="center"/>
          </w:tcPr>
          <w:p w:rsidR="00B5210F" w:rsidRPr="00A17498" w:rsidRDefault="00B5210F" w:rsidP="001D3202">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c>
          <w:tcPr>
            <w:tcW w:w="9214" w:type="dxa"/>
            <w:tcBorders>
              <w:top w:val="nil"/>
              <w:left w:val="single" w:sz="4" w:space="0" w:color="auto"/>
              <w:bottom w:val="nil"/>
              <w:right w:val="nil"/>
            </w:tcBorders>
            <w:vAlign w:val="center"/>
          </w:tcPr>
          <w:p w:rsidR="00B5210F" w:rsidRPr="009C61AD" w:rsidRDefault="00B5210F" w:rsidP="001D3202">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B5210F" w:rsidRPr="00A17498" w:rsidRDefault="00B5210F" w:rsidP="00B5210F">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B5210F" w:rsidRPr="00A17498" w:rsidTr="001D3202">
        <w:trPr>
          <w:trHeight w:val="283"/>
        </w:trPr>
        <w:tc>
          <w:tcPr>
            <w:tcW w:w="1134" w:type="dxa"/>
            <w:tcBorders>
              <w:top w:val="nil"/>
              <w:left w:val="nil"/>
              <w:bottom w:val="nil"/>
              <w:right w:val="single" w:sz="4" w:space="0" w:color="auto"/>
            </w:tcBorders>
            <w:vAlign w:val="center"/>
          </w:tcPr>
          <w:p w:rsidR="00B5210F" w:rsidRPr="00A17498" w:rsidRDefault="00B5210F" w:rsidP="001D3202">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B5210F" w:rsidRPr="00A17498" w:rsidRDefault="00B5210F" w:rsidP="001D3202">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B5210F" w:rsidRPr="00A17498" w:rsidRDefault="00B5210F" w:rsidP="001D3202">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B5210F" w:rsidRPr="00A17498" w:rsidRDefault="00B5210F" w:rsidP="001D3202">
            <w:pPr>
              <w:pStyle w:val="BodyText"/>
              <w:spacing w:after="0"/>
              <w:rPr>
                <w:rFonts w:asciiTheme="minorHAnsi" w:hAnsiTheme="minorHAnsi" w:cstheme="minorHAnsi"/>
              </w:rPr>
            </w:pPr>
            <w:r>
              <w:rPr>
                <w:rFonts w:asciiTheme="minorHAnsi" w:hAnsiTheme="minorHAnsi" w:cstheme="minorHAnsi"/>
              </w:rPr>
              <w:t>SP2</w:t>
            </w:r>
          </w:p>
        </w:tc>
      </w:tr>
    </w:tbl>
    <w:p w:rsidR="00B5210F" w:rsidRPr="00A17498" w:rsidRDefault="00B5210F" w:rsidP="00B5210F">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B5210F" w:rsidRPr="009C61AD" w:rsidTr="009C61AD">
        <w:trPr>
          <w:trHeight w:val="409"/>
        </w:trPr>
        <w:tc>
          <w:tcPr>
            <w:tcW w:w="4820" w:type="dxa"/>
            <w:tcBorders>
              <w:top w:val="nil"/>
              <w:left w:val="nil"/>
              <w:bottom w:val="nil"/>
              <w:right w:val="nil"/>
            </w:tcBorders>
            <w:vAlign w:val="center"/>
          </w:tcPr>
          <w:p w:rsidR="00B5210F" w:rsidRPr="00882F68" w:rsidRDefault="00B5210F" w:rsidP="00663DB5">
            <w:pPr>
              <w:rPr>
                <w:rFonts w:ascii="Verdana" w:eastAsiaTheme="minorHAnsi" w:hAnsi="Verdana" w:cs="Verdana"/>
                <w:color w:val="000000"/>
                <w:sz w:val="20"/>
                <w:szCs w:val="20"/>
              </w:rPr>
            </w:pPr>
            <w:r w:rsidRPr="00882F68">
              <w:rPr>
                <w:rFonts w:ascii="Verdana" w:eastAsiaTheme="minorHAnsi" w:hAnsi="Verdana" w:cs="Verdana"/>
                <w:color w:val="000000"/>
                <w:sz w:val="20"/>
                <w:szCs w:val="20"/>
              </w:rPr>
              <w:t>A. Legally compliant</w:t>
            </w:r>
          </w:p>
        </w:tc>
        <w:tc>
          <w:tcPr>
            <w:tcW w:w="1275" w:type="dxa"/>
            <w:tcBorders>
              <w:top w:val="nil"/>
              <w:left w:val="nil"/>
              <w:bottom w:val="nil"/>
              <w:right w:val="single" w:sz="4" w:space="0" w:color="auto"/>
            </w:tcBorders>
            <w:vAlign w:val="center"/>
          </w:tcPr>
          <w:p w:rsidR="00B5210F" w:rsidRPr="009C61AD" w:rsidRDefault="00B5210F" w:rsidP="00663DB5">
            <w:pPr>
              <w:rPr>
                <w:rFonts w:ascii="Verdana" w:eastAsiaTheme="minorHAnsi" w:hAnsi="Verdana" w:cs="Verdana"/>
                <w:color w:val="000000"/>
                <w:sz w:val="20"/>
                <w:szCs w:val="20"/>
              </w:rPr>
            </w:pPr>
            <w:r w:rsidRPr="009C61AD">
              <w:rPr>
                <w:rFonts w:ascii="Verdana" w:eastAsiaTheme="minorHAnsi" w:hAnsi="Verdana" w:cs="Verdana"/>
                <w:color w:val="000000"/>
                <w:sz w:val="20"/>
                <w:szCs w:val="20"/>
              </w:rPr>
              <w:t>Yes:</w:t>
            </w:r>
          </w:p>
        </w:tc>
        <w:tc>
          <w:tcPr>
            <w:tcW w:w="567" w:type="dxa"/>
            <w:tcBorders>
              <w:left w:val="single" w:sz="4" w:space="0" w:color="auto"/>
              <w:right w:val="single" w:sz="4" w:space="0" w:color="auto"/>
            </w:tcBorders>
            <w:vAlign w:val="center"/>
          </w:tcPr>
          <w:p w:rsidR="00B5210F" w:rsidRPr="009C61AD" w:rsidRDefault="00B5210F" w:rsidP="00663DB5">
            <w:pPr>
              <w:rPr>
                <w:rFonts w:ascii="Verdana" w:eastAsiaTheme="minorHAnsi" w:hAnsi="Verdana" w:cs="Verdana"/>
                <w:color w:val="000000"/>
                <w:sz w:val="20"/>
                <w:szCs w:val="20"/>
              </w:rPr>
            </w:pPr>
          </w:p>
        </w:tc>
        <w:tc>
          <w:tcPr>
            <w:tcW w:w="993" w:type="dxa"/>
            <w:tcBorders>
              <w:top w:val="nil"/>
              <w:left w:val="single" w:sz="4" w:space="0" w:color="auto"/>
              <w:bottom w:val="nil"/>
              <w:right w:val="single" w:sz="4" w:space="0" w:color="auto"/>
            </w:tcBorders>
            <w:vAlign w:val="center"/>
          </w:tcPr>
          <w:p w:rsidR="00B5210F" w:rsidRPr="009C61AD" w:rsidRDefault="00B5210F" w:rsidP="00663DB5">
            <w:pPr>
              <w:rPr>
                <w:rFonts w:ascii="Verdana" w:eastAsiaTheme="minorHAnsi" w:hAnsi="Verdana" w:cs="Verdana"/>
                <w:color w:val="000000"/>
                <w:sz w:val="20"/>
                <w:szCs w:val="20"/>
              </w:rPr>
            </w:pPr>
            <w:r w:rsidRPr="009C61AD">
              <w:rPr>
                <w:rFonts w:ascii="Verdana" w:eastAsiaTheme="minorHAnsi" w:hAnsi="Verdana" w:cs="Verdana"/>
                <w:color w:val="000000"/>
                <w:sz w:val="20"/>
                <w:szCs w:val="20"/>
              </w:rPr>
              <w:t>No:</w:t>
            </w:r>
          </w:p>
        </w:tc>
        <w:tc>
          <w:tcPr>
            <w:tcW w:w="567" w:type="dxa"/>
            <w:tcBorders>
              <w:left w:val="single" w:sz="4" w:space="0" w:color="auto"/>
            </w:tcBorders>
            <w:vAlign w:val="center"/>
          </w:tcPr>
          <w:p w:rsidR="00B5210F" w:rsidRPr="009C61AD" w:rsidRDefault="004E1A00" w:rsidP="00663DB5">
            <w:pPr>
              <w:pStyle w:val="ListParagraph"/>
              <w:spacing w:after="0"/>
              <w:contextualSpacing w:val="0"/>
              <w:rPr>
                <w:rFonts w:ascii="Verdana" w:hAnsi="Verdana" w:cs="Verdana"/>
                <w:color w:val="000000"/>
                <w:sz w:val="20"/>
                <w:szCs w:val="20"/>
              </w:rPr>
            </w:pPr>
            <w:r w:rsidRPr="004E1A00">
              <w:rPr>
                <w:rFonts w:asciiTheme="minorHAnsi" w:hAnsiTheme="minorHAnsi" w:cstheme="minorHAnsi"/>
                <w:b/>
              </w:rPr>
              <w:t>√</w:t>
            </w:r>
          </w:p>
        </w:tc>
      </w:tr>
      <w:tr w:rsidR="009C61AD" w:rsidTr="00663DB5">
        <w:trPr>
          <w:trHeight w:val="409"/>
        </w:trPr>
        <w:tc>
          <w:tcPr>
            <w:tcW w:w="4820" w:type="dxa"/>
            <w:tcBorders>
              <w:top w:val="nil"/>
              <w:left w:val="nil"/>
              <w:bottom w:val="nil"/>
              <w:right w:val="nil"/>
            </w:tcBorders>
            <w:vAlign w:val="center"/>
          </w:tcPr>
          <w:p w:rsidR="009C61AD" w:rsidRPr="00882F68" w:rsidRDefault="009C61AD" w:rsidP="00663DB5">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tcBorders>
            <w:vAlign w:val="center"/>
          </w:tcPr>
          <w:p w:rsidR="009C61AD" w:rsidRDefault="009C61AD" w:rsidP="00663DB5">
            <w:pPr>
              <w:pStyle w:val="TableParagraph"/>
              <w:spacing w:before="42"/>
              <w:rPr>
                <w:sz w:val="20"/>
              </w:rPr>
            </w:pPr>
            <w:r>
              <w:rPr>
                <w:sz w:val="20"/>
              </w:rPr>
              <w:t>Yes:</w:t>
            </w:r>
          </w:p>
        </w:tc>
        <w:tc>
          <w:tcPr>
            <w:tcW w:w="567" w:type="dxa"/>
            <w:vAlign w:val="center"/>
          </w:tcPr>
          <w:p w:rsidR="009C61AD" w:rsidRPr="004E1A00" w:rsidRDefault="009C61AD" w:rsidP="00663DB5">
            <w:pPr>
              <w:rPr>
                <w:rFonts w:ascii="Verdana" w:eastAsiaTheme="minorHAnsi" w:hAnsi="Verdana" w:cs="Verdana"/>
                <w:color w:val="000000"/>
                <w:sz w:val="20"/>
                <w:szCs w:val="20"/>
              </w:rPr>
            </w:pPr>
          </w:p>
        </w:tc>
        <w:tc>
          <w:tcPr>
            <w:tcW w:w="993" w:type="dxa"/>
            <w:tcBorders>
              <w:top w:val="nil"/>
              <w:bottom w:val="nil"/>
            </w:tcBorders>
            <w:vAlign w:val="center"/>
          </w:tcPr>
          <w:p w:rsidR="009C61AD" w:rsidRDefault="009C61AD" w:rsidP="00663DB5">
            <w:pPr>
              <w:pStyle w:val="TableParagraph"/>
              <w:spacing w:before="42"/>
              <w:rPr>
                <w:sz w:val="20"/>
              </w:rPr>
            </w:pPr>
            <w:r>
              <w:rPr>
                <w:sz w:val="20"/>
              </w:rPr>
              <w:t>No:</w:t>
            </w:r>
          </w:p>
        </w:tc>
        <w:tc>
          <w:tcPr>
            <w:tcW w:w="567" w:type="dxa"/>
            <w:vAlign w:val="center"/>
          </w:tcPr>
          <w:p w:rsidR="009C61AD" w:rsidRPr="00A17498" w:rsidRDefault="009C61AD" w:rsidP="00663DB5">
            <w:pPr>
              <w:pStyle w:val="ListParagraph"/>
              <w:spacing w:after="0"/>
              <w:contextualSpacing w:val="0"/>
              <w:rPr>
                <w:rFonts w:asciiTheme="minorHAnsi" w:hAnsiTheme="minorHAnsi" w:cstheme="minorHAnsi"/>
                <w:b/>
              </w:rPr>
            </w:pPr>
            <w:r w:rsidRPr="00A17498">
              <w:rPr>
                <w:rFonts w:asciiTheme="minorHAnsi" w:hAnsiTheme="minorHAnsi" w:cstheme="minorHAnsi"/>
                <w:b/>
              </w:rPr>
              <w:t>√</w:t>
            </w:r>
          </w:p>
        </w:tc>
      </w:tr>
      <w:tr w:rsidR="009C61AD" w:rsidTr="009C61AD">
        <w:trPr>
          <w:trHeight w:val="283"/>
        </w:trPr>
        <w:tc>
          <w:tcPr>
            <w:tcW w:w="4820" w:type="dxa"/>
            <w:tcBorders>
              <w:top w:val="nil"/>
              <w:left w:val="nil"/>
              <w:bottom w:val="nil"/>
              <w:right w:val="nil"/>
            </w:tcBorders>
          </w:tcPr>
          <w:p w:rsidR="009C61AD" w:rsidRPr="00882F68" w:rsidRDefault="009C61AD" w:rsidP="00236342">
            <w:pPr>
              <w:autoSpaceDE w:val="0"/>
              <w:autoSpaceDN w:val="0"/>
              <w:adjustRightInd w:val="0"/>
              <w:rPr>
                <w:rFonts w:ascii="Verdana" w:eastAsiaTheme="minorHAnsi" w:hAnsi="Verdana" w:cs="Verdana"/>
                <w:color w:val="000000"/>
                <w:sz w:val="20"/>
                <w:szCs w:val="20"/>
              </w:rPr>
            </w:pPr>
            <w:r w:rsidRPr="00882F68">
              <w:rPr>
                <w:rFonts w:ascii="Verdana" w:eastAsiaTheme="minorHAnsi" w:hAnsi="Verdana" w:cs="Verdana"/>
                <w:color w:val="000000"/>
                <w:sz w:val="20"/>
                <w:szCs w:val="20"/>
              </w:rPr>
              <w:t xml:space="preserve">C. Compliant with the Duty to Co-operate </w:t>
            </w:r>
          </w:p>
        </w:tc>
        <w:tc>
          <w:tcPr>
            <w:tcW w:w="1275" w:type="dxa"/>
            <w:tcBorders>
              <w:top w:val="nil"/>
              <w:left w:val="nil"/>
              <w:bottom w:val="nil"/>
            </w:tcBorders>
          </w:tcPr>
          <w:p w:rsidR="009C61AD" w:rsidRDefault="009C61AD" w:rsidP="00236342">
            <w:pPr>
              <w:pStyle w:val="TableParagraph"/>
              <w:spacing w:before="42"/>
              <w:rPr>
                <w:sz w:val="20"/>
              </w:rPr>
            </w:pPr>
            <w:r>
              <w:rPr>
                <w:sz w:val="20"/>
              </w:rPr>
              <w:t>Yes:</w:t>
            </w:r>
          </w:p>
        </w:tc>
        <w:tc>
          <w:tcPr>
            <w:tcW w:w="567" w:type="dxa"/>
          </w:tcPr>
          <w:p w:rsidR="009C61AD" w:rsidRPr="004E1A00" w:rsidRDefault="009C61AD" w:rsidP="004E1A00">
            <w:pPr>
              <w:rPr>
                <w:rFonts w:ascii="Verdana" w:eastAsiaTheme="minorHAnsi" w:hAnsi="Verdana" w:cs="Verdana"/>
                <w:color w:val="000000"/>
                <w:sz w:val="20"/>
                <w:szCs w:val="20"/>
              </w:rPr>
            </w:pPr>
          </w:p>
        </w:tc>
        <w:tc>
          <w:tcPr>
            <w:tcW w:w="993" w:type="dxa"/>
            <w:tcBorders>
              <w:top w:val="nil"/>
              <w:bottom w:val="nil"/>
            </w:tcBorders>
          </w:tcPr>
          <w:p w:rsidR="009C61AD" w:rsidRDefault="009C61AD" w:rsidP="00236342">
            <w:pPr>
              <w:pStyle w:val="TableParagraph"/>
              <w:spacing w:before="42"/>
              <w:rPr>
                <w:sz w:val="20"/>
              </w:rPr>
            </w:pPr>
            <w:r>
              <w:rPr>
                <w:sz w:val="20"/>
              </w:rPr>
              <w:t>No</w:t>
            </w:r>
          </w:p>
        </w:tc>
        <w:tc>
          <w:tcPr>
            <w:tcW w:w="567" w:type="dxa"/>
          </w:tcPr>
          <w:p w:rsidR="009C61AD" w:rsidRPr="00A17498" w:rsidRDefault="009C61AD" w:rsidP="00236342">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r>
    </w:tbl>
    <w:p w:rsidR="00635474" w:rsidRPr="005307CB" w:rsidRDefault="00635474" w:rsidP="00635474">
      <w:pPr>
        <w:pStyle w:val="Heading2"/>
        <w:spacing w:before="240" w:after="120"/>
        <w:rPr>
          <w:rFonts w:asciiTheme="minorHAnsi" w:eastAsiaTheme="minorHAnsi" w:hAnsiTheme="minorHAnsi" w:cstheme="minorHAnsi"/>
          <w:b/>
          <w:i/>
          <w:color w:val="0070C0"/>
          <w:sz w:val="28"/>
          <w:szCs w:val="28"/>
          <w:lang w:eastAsia="en-GB"/>
        </w:rPr>
      </w:pPr>
      <w:bookmarkStart w:id="11" w:name="_Toc65242898"/>
      <w:r w:rsidRPr="005307CB">
        <w:rPr>
          <w:rFonts w:asciiTheme="minorHAnsi" w:eastAsiaTheme="minorHAnsi" w:hAnsiTheme="minorHAnsi" w:cstheme="minorHAnsi"/>
          <w:b/>
          <w:i/>
          <w:color w:val="0070C0"/>
          <w:sz w:val="28"/>
          <w:szCs w:val="28"/>
          <w:lang w:eastAsia="en-GB"/>
        </w:rPr>
        <w:t>Details</w:t>
      </w:r>
      <w:bookmarkEnd w:id="11"/>
    </w:p>
    <w:p w:rsidR="00635474" w:rsidRDefault="00E817A3" w:rsidP="00E817A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Our case is</w:t>
      </w:r>
      <w:r w:rsidR="00B70F9F">
        <w:rPr>
          <w:rFonts w:asciiTheme="minorHAnsi" w:hAnsiTheme="minorHAnsi" w:cstheme="minorHAnsi"/>
          <w:lang w:eastAsia="en-GB"/>
        </w:rPr>
        <w:t xml:space="preserve"> </w:t>
      </w:r>
      <w:r w:rsidR="00194CB9">
        <w:rPr>
          <w:rFonts w:asciiTheme="minorHAnsi" w:hAnsiTheme="minorHAnsi" w:cstheme="minorHAnsi"/>
          <w:lang w:eastAsia="en-GB"/>
        </w:rPr>
        <w:t xml:space="preserve">that the climate emergency and the intimately associated ecological emergency, are </w:t>
      </w:r>
      <w:r w:rsidR="00B70F9F">
        <w:rPr>
          <w:rFonts w:asciiTheme="minorHAnsi" w:hAnsiTheme="minorHAnsi" w:cstheme="minorHAnsi"/>
          <w:lang w:eastAsia="en-GB"/>
        </w:rPr>
        <w:t xml:space="preserve">of </w:t>
      </w:r>
      <w:r w:rsidR="00194CB9">
        <w:rPr>
          <w:rFonts w:asciiTheme="minorHAnsi" w:hAnsiTheme="minorHAnsi" w:cstheme="minorHAnsi"/>
          <w:lang w:eastAsia="en-GB"/>
        </w:rPr>
        <w:t>such overri</w:t>
      </w:r>
      <w:r w:rsidR="00B70F9F">
        <w:rPr>
          <w:rFonts w:asciiTheme="minorHAnsi" w:hAnsiTheme="minorHAnsi" w:cstheme="minorHAnsi"/>
          <w:lang w:eastAsia="en-GB"/>
        </w:rPr>
        <w:t>ding consideration</w:t>
      </w:r>
      <w:r w:rsidR="00194CB9">
        <w:rPr>
          <w:rFonts w:asciiTheme="minorHAnsi" w:hAnsiTheme="minorHAnsi" w:cstheme="minorHAnsi"/>
          <w:lang w:eastAsia="en-GB"/>
        </w:rPr>
        <w:t xml:space="preserve"> that mankind has to change course.  Growth, and exploitation of resources, should be </w:t>
      </w:r>
      <w:r w:rsidR="005458FB">
        <w:rPr>
          <w:rFonts w:asciiTheme="minorHAnsi" w:hAnsiTheme="minorHAnsi" w:cstheme="minorHAnsi"/>
          <w:lang w:eastAsia="en-GB"/>
        </w:rPr>
        <w:t>optimised in line with these considerations</w:t>
      </w:r>
      <w:r w:rsidR="00194CB9">
        <w:rPr>
          <w:rFonts w:asciiTheme="minorHAnsi" w:hAnsiTheme="minorHAnsi" w:cstheme="minorHAnsi"/>
          <w:lang w:eastAsia="en-GB"/>
        </w:rPr>
        <w:t>, not maximised.</w:t>
      </w:r>
      <w:r w:rsidR="005458FB">
        <w:rPr>
          <w:rFonts w:asciiTheme="minorHAnsi" w:hAnsiTheme="minorHAnsi" w:cstheme="minorHAnsi"/>
          <w:lang w:eastAsia="en-GB"/>
        </w:rPr>
        <w:t xml:space="preserve">  In the planning balance, that means keeping growth to minimal levels consistent with other needs.</w:t>
      </w:r>
    </w:p>
    <w:p w:rsidR="0071171F" w:rsidRDefault="00194CB9" w:rsidP="00E817A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At our local level, Shropshire </w:t>
      </w:r>
      <w:r w:rsidR="0071171F">
        <w:rPr>
          <w:rFonts w:asciiTheme="minorHAnsi" w:hAnsiTheme="minorHAnsi" w:cstheme="minorHAnsi"/>
          <w:lang w:eastAsia="en-GB"/>
        </w:rPr>
        <w:t xml:space="preserve">Council should </w:t>
      </w:r>
      <w:r>
        <w:rPr>
          <w:rFonts w:asciiTheme="minorHAnsi" w:hAnsiTheme="minorHAnsi" w:cstheme="minorHAnsi"/>
          <w:lang w:eastAsia="en-GB"/>
        </w:rPr>
        <w:t xml:space="preserve">therefore </w:t>
      </w:r>
      <w:r w:rsidR="0071171F">
        <w:rPr>
          <w:rFonts w:asciiTheme="minorHAnsi" w:hAnsiTheme="minorHAnsi" w:cstheme="minorHAnsi"/>
          <w:lang w:eastAsia="en-GB"/>
        </w:rPr>
        <w:t xml:space="preserve">seek to </w:t>
      </w:r>
      <w:r w:rsidR="005458FB">
        <w:rPr>
          <w:rFonts w:asciiTheme="minorHAnsi" w:hAnsiTheme="minorHAnsi" w:cstheme="minorHAnsi"/>
          <w:lang w:eastAsia="en-GB"/>
        </w:rPr>
        <w:t>opt</w:t>
      </w:r>
      <w:r w:rsidR="0071171F">
        <w:rPr>
          <w:rFonts w:asciiTheme="minorHAnsi" w:hAnsiTheme="minorHAnsi" w:cstheme="minorHAnsi"/>
          <w:lang w:eastAsia="en-GB"/>
        </w:rPr>
        <w:t xml:space="preserve">imise necessary growth, not </w:t>
      </w:r>
      <w:r>
        <w:rPr>
          <w:rFonts w:asciiTheme="minorHAnsi" w:hAnsiTheme="minorHAnsi" w:cstheme="minorHAnsi"/>
          <w:lang w:eastAsia="en-GB"/>
        </w:rPr>
        <w:t xml:space="preserve">to </w:t>
      </w:r>
      <w:r w:rsidR="0071171F">
        <w:rPr>
          <w:rFonts w:asciiTheme="minorHAnsi" w:hAnsiTheme="minorHAnsi" w:cstheme="minorHAnsi"/>
          <w:lang w:eastAsia="en-GB"/>
        </w:rPr>
        <w:t xml:space="preserve">maximise it.  </w:t>
      </w:r>
      <w:r w:rsidR="009D76D9">
        <w:rPr>
          <w:rFonts w:asciiTheme="minorHAnsi" w:hAnsiTheme="minorHAnsi" w:cstheme="minorHAnsi"/>
          <w:lang w:eastAsia="en-GB"/>
        </w:rPr>
        <w:t xml:space="preserve">At the moment, almost all new development increases net greenhouse gas emissions.  The current policies in the Draft Plan will do little to alter that.  </w:t>
      </w:r>
      <w:r w:rsidR="0071171F">
        <w:rPr>
          <w:rFonts w:asciiTheme="minorHAnsi" w:hAnsiTheme="minorHAnsi" w:cstheme="minorHAnsi"/>
          <w:lang w:eastAsia="en-GB"/>
        </w:rPr>
        <w:t xml:space="preserve">Until zero carbon building is achieved (if it ever is), each piece of development will </w:t>
      </w:r>
      <w:r w:rsidR="009D76D9">
        <w:rPr>
          <w:rFonts w:asciiTheme="minorHAnsi" w:hAnsiTheme="minorHAnsi" w:cstheme="minorHAnsi"/>
          <w:lang w:eastAsia="en-GB"/>
        </w:rPr>
        <w:t xml:space="preserve">continue to </w:t>
      </w:r>
      <w:r w:rsidR="0071171F">
        <w:rPr>
          <w:rFonts w:asciiTheme="minorHAnsi" w:hAnsiTheme="minorHAnsi" w:cstheme="minorHAnsi"/>
          <w:lang w:eastAsia="en-GB"/>
        </w:rPr>
        <w:t>make the problem worse, not better. The aim for growth, or even business as usual, is therefore contrary to the Council’s own Climate Change policies.  What is needed is a ‘step-change’ in thinking, not a ‘step-c</w:t>
      </w:r>
      <w:r w:rsidR="00160B67">
        <w:rPr>
          <w:rFonts w:asciiTheme="minorHAnsi" w:hAnsiTheme="minorHAnsi" w:cstheme="minorHAnsi"/>
          <w:lang w:eastAsia="en-GB"/>
        </w:rPr>
        <w:t>hange’ in economic performance.</w:t>
      </w:r>
    </w:p>
    <w:p w:rsidR="00E817A3" w:rsidRDefault="00E817A3" w:rsidP="00E817A3">
      <w:pPr>
        <w:pStyle w:val="ListParagraph"/>
        <w:numPr>
          <w:ilvl w:val="1"/>
          <w:numId w:val="1"/>
        </w:numPr>
        <w:spacing w:before="12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headline figures in SP2 o</w:t>
      </w:r>
      <w:r w:rsidRPr="009D76D9">
        <w:rPr>
          <w:rFonts w:asciiTheme="minorHAnsi" w:hAnsiTheme="minorHAnsi" w:cstheme="minorHAnsi"/>
          <w:lang w:eastAsia="en-GB"/>
        </w:rPr>
        <w:t xml:space="preserve">ver the plan period from 2016 to 2038 </w:t>
      </w:r>
      <w:r>
        <w:rPr>
          <w:rFonts w:asciiTheme="minorHAnsi" w:hAnsiTheme="minorHAnsi" w:cstheme="minorHAnsi"/>
          <w:lang w:eastAsia="en-GB"/>
        </w:rPr>
        <w:t>are to deliver:</w:t>
      </w:r>
    </w:p>
    <w:p w:rsidR="00E817A3" w:rsidRPr="00D24F3B" w:rsidRDefault="00E817A3" w:rsidP="002427CD">
      <w:pPr>
        <w:pStyle w:val="ListParagraph"/>
        <w:numPr>
          <w:ilvl w:val="0"/>
          <w:numId w:val="4"/>
        </w:numPr>
        <w:spacing w:before="120"/>
        <w:ind w:left="567" w:hanging="567"/>
        <w:contextualSpacing w:val="0"/>
        <w:textAlignment w:val="baseline"/>
        <w:rPr>
          <w:rFonts w:asciiTheme="minorHAnsi" w:hAnsiTheme="minorHAnsi" w:cstheme="minorHAnsi"/>
          <w:lang w:eastAsia="en-GB"/>
        </w:rPr>
      </w:pPr>
      <w:r w:rsidRPr="009D76D9">
        <w:rPr>
          <w:rFonts w:asciiTheme="minorHAnsi" w:hAnsiTheme="minorHAnsi" w:cstheme="minorHAnsi"/>
          <w:lang w:eastAsia="en-GB"/>
        </w:rPr>
        <w:t>around 30,800 new dwellings</w:t>
      </w:r>
      <w:r>
        <w:rPr>
          <w:rFonts w:asciiTheme="minorHAnsi" w:hAnsiTheme="minorHAnsi" w:cstheme="minorHAnsi"/>
          <w:lang w:eastAsia="en-GB"/>
        </w:rPr>
        <w:t xml:space="preserve"> (</w:t>
      </w:r>
      <w:r w:rsidRPr="00D24F3B">
        <w:rPr>
          <w:rFonts w:asciiTheme="minorHAnsi" w:hAnsiTheme="minorHAnsi" w:cstheme="minorHAnsi"/>
          <w:lang w:eastAsia="en-GB"/>
        </w:rPr>
        <w:t>this incorporates 1,500 dwellings to support the housing needs of the emerging Black Country Plan</w:t>
      </w:r>
      <w:r>
        <w:rPr>
          <w:rFonts w:asciiTheme="minorHAnsi" w:hAnsiTheme="minorHAnsi" w:cstheme="minorHAnsi"/>
          <w:lang w:eastAsia="en-GB"/>
        </w:rPr>
        <w:t>)</w:t>
      </w:r>
    </w:p>
    <w:p w:rsidR="00E817A3" w:rsidRPr="00D24F3B" w:rsidRDefault="000B38E2" w:rsidP="002427CD">
      <w:pPr>
        <w:pStyle w:val="ListParagraph"/>
        <w:numPr>
          <w:ilvl w:val="0"/>
          <w:numId w:val="4"/>
        </w:numPr>
        <w:spacing w:before="120"/>
        <w:ind w:left="567" w:hanging="567"/>
        <w:contextualSpacing w:val="0"/>
        <w:textAlignment w:val="baseline"/>
        <w:rPr>
          <w:rFonts w:asciiTheme="minorHAnsi" w:hAnsiTheme="minorHAnsi" w:cstheme="minorHAnsi"/>
          <w:lang w:eastAsia="en-GB"/>
        </w:rPr>
      </w:pPr>
      <w:r>
        <w:rPr>
          <w:rFonts w:asciiTheme="minorHAnsi" w:hAnsiTheme="minorHAnsi" w:cstheme="minorHAnsi"/>
          <w:lang w:eastAsia="en-GB"/>
        </w:rPr>
        <w:t>around 300</w:t>
      </w:r>
      <w:r w:rsidR="00E817A3" w:rsidRPr="009D76D9">
        <w:rPr>
          <w:rFonts w:asciiTheme="minorHAnsi" w:hAnsiTheme="minorHAnsi" w:cstheme="minorHAnsi"/>
          <w:lang w:eastAsia="en-GB"/>
        </w:rPr>
        <w:t xml:space="preserve"> hectares of employment land</w:t>
      </w:r>
      <w:r w:rsidR="00E817A3">
        <w:rPr>
          <w:rFonts w:asciiTheme="minorHAnsi" w:hAnsiTheme="minorHAnsi" w:cstheme="minorHAnsi"/>
          <w:lang w:eastAsia="en-GB"/>
        </w:rPr>
        <w:t xml:space="preserve"> (this incorporates </w:t>
      </w:r>
      <w:r w:rsidR="00E817A3" w:rsidRPr="00D24F3B">
        <w:rPr>
          <w:rFonts w:asciiTheme="minorHAnsi" w:hAnsiTheme="minorHAnsi" w:cstheme="minorHAnsi"/>
          <w:lang w:eastAsia="en-GB"/>
        </w:rPr>
        <w:t>up to 30ha of employment land to support the employment needs of the emerging Black Country Plan)</w:t>
      </w:r>
      <w:r w:rsidR="00E817A3">
        <w:rPr>
          <w:rFonts w:asciiTheme="minorHAnsi" w:hAnsiTheme="minorHAnsi" w:cstheme="minorHAnsi"/>
          <w:lang w:eastAsia="en-GB"/>
        </w:rPr>
        <w:t>.</w:t>
      </w:r>
    </w:p>
    <w:p w:rsidR="000068AF" w:rsidRDefault="00BA3D8D" w:rsidP="00E817A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Appendix 5 to the Draft Plan sets out the Residential Development Guidelines and Residential Supply for each relevant settlement. However, no totals are shown </w:t>
      </w:r>
      <w:r w:rsidR="00A57CC8">
        <w:rPr>
          <w:rFonts w:asciiTheme="minorHAnsi" w:hAnsiTheme="minorHAnsi" w:cstheme="minorHAnsi"/>
          <w:lang w:eastAsia="en-GB"/>
        </w:rPr>
        <w:t xml:space="preserve">so it not easy to see how the individual figures relate to the </w:t>
      </w:r>
      <w:r>
        <w:rPr>
          <w:rFonts w:asciiTheme="minorHAnsi" w:hAnsiTheme="minorHAnsi" w:cstheme="minorHAnsi"/>
          <w:lang w:eastAsia="en-GB"/>
        </w:rPr>
        <w:t>overall guideline of 30,800 dwellings.</w:t>
      </w:r>
    </w:p>
    <w:p w:rsidR="00BA3D8D" w:rsidRDefault="00BA3D8D" w:rsidP="00E817A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Appendix 6 to the Draft Plan is headed Employment</w:t>
      </w:r>
      <w:r w:rsidR="00A57CC8">
        <w:rPr>
          <w:rFonts w:asciiTheme="minorHAnsi" w:hAnsiTheme="minorHAnsi" w:cstheme="minorHAnsi"/>
          <w:lang w:eastAsia="en-GB"/>
        </w:rPr>
        <w:t xml:space="preserve"> Development Guidelines and Employment Land Supply.  It again sets out figures for the individual settlements, but in a completely different order (by geography, roughly north-west to south-east) and including, </w:t>
      </w:r>
      <w:r w:rsidR="00A57CC8">
        <w:rPr>
          <w:rFonts w:asciiTheme="minorHAnsi" w:hAnsiTheme="minorHAnsi" w:cstheme="minorHAnsi"/>
          <w:lang w:eastAsia="en-GB"/>
        </w:rPr>
        <w:lastRenderedPageBreak/>
        <w:t xml:space="preserve">for some unexplained reason, selected figures for Hubs, Clusters and the Countryside.  More importantly, despite its title, it does </w:t>
      </w:r>
      <w:r w:rsidR="00A57CC8" w:rsidRPr="00E817A3">
        <w:rPr>
          <w:rFonts w:asciiTheme="minorHAnsi" w:hAnsiTheme="minorHAnsi" w:cstheme="minorHAnsi"/>
          <w:u w:val="single"/>
          <w:lang w:eastAsia="en-GB"/>
        </w:rPr>
        <w:t>not</w:t>
      </w:r>
      <w:r w:rsidR="00A57CC8">
        <w:rPr>
          <w:rFonts w:asciiTheme="minorHAnsi" w:hAnsiTheme="minorHAnsi" w:cstheme="minorHAnsi"/>
          <w:lang w:eastAsia="en-GB"/>
        </w:rPr>
        <w:t xml:space="preserve"> include the settlement guidelines</w:t>
      </w:r>
      <w:r w:rsidR="00B83EFE">
        <w:rPr>
          <w:rFonts w:asciiTheme="minorHAnsi" w:hAnsiTheme="minorHAnsi" w:cstheme="minorHAnsi"/>
          <w:lang w:eastAsia="en-GB"/>
        </w:rPr>
        <w:t>.</w:t>
      </w:r>
      <w:r w:rsidR="00E817A3">
        <w:rPr>
          <w:rFonts w:asciiTheme="minorHAnsi" w:hAnsiTheme="minorHAnsi" w:cstheme="minorHAnsi"/>
          <w:lang w:eastAsia="en-GB"/>
        </w:rPr>
        <w:t xml:space="preserve">  Again</w:t>
      </w:r>
      <w:r w:rsidR="00A57CC8">
        <w:rPr>
          <w:rFonts w:asciiTheme="minorHAnsi" w:hAnsiTheme="minorHAnsi" w:cstheme="minorHAnsi"/>
          <w:lang w:eastAsia="en-GB"/>
        </w:rPr>
        <w:t>,</w:t>
      </w:r>
      <w:r w:rsidR="00E817A3">
        <w:rPr>
          <w:rFonts w:asciiTheme="minorHAnsi" w:hAnsiTheme="minorHAnsi" w:cstheme="minorHAnsi"/>
          <w:lang w:eastAsia="en-GB"/>
        </w:rPr>
        <w:t xml:space="preserve"> </w:t>
      </w:r>
      <w:r w:rsidR="00A57CC8">
        <w:rPr>
          <w:rFonts w:asciiTheme="minorHAnsi" w:hAnsiTheme="minorHAnsi" w:cstheme="minorHAnsi"/>
          <w:lang w:eastAsia="en-GB"/>
        </w:rPr>
        <w:t>no totals</w:t>
      </w:r>
      <w:r w:rsidR="00E817A3">
        <w:rPr>
          <w:rFonts w:asciiTheme="minorHAnsi" w:hAnsiTheme="minorHAnsi" w:cstheme="minorHAnsi"/>
          <w:lang w:eastAsia="en-GB"/>
        </w:rPr>
        <w:t xml:space="preserve"> are shown</w:t>
      </w:r>
      <w:r w:rsidR="00A57CC8">
        <w:rPr>
          <w:rFonts w:asciiTheme="minorHAnsi" w:hAnsiTheme="minorHAnsi" w:cstheme="minorHAnsi"/>
          <w:lang w:eastAsia="en-GB"/>
        </w:rPr>
        <w:t>.</w:t>
      </w:r>
    </w:p>
    <w:p w:rsidR="00A57CC8" w:rsidRDefault="00A57CC8" w:rsidP="00E817A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In order better to understand the overall picture we have produced our own summary of these two Appendices which we set out below, in </w:t>
      </w:r>
      <w:r w:rsidR="00B83EFE">
        <w:rPr>
          <w:rFonts w:asciiTheme="minorHAnsi" w:hAnsiTheme="minorHAnsi" w:cstheme="minorHAnsi"/>
          <w:lang w:eastAsia="en-GB"/>
        </w:rPr>
        <w:t>summary and then in detail, first for the non-Hub settlements, then for the Hubs</w:t>
      </w:r>
      <w:r>
        <w:rPr>
          <w:rFonts w:asciiTheme="minorHAnsi" w:hAnsiTheme="minorHAnsi" w:cstheme="minorHAnsi"/>
          <w:lang w:eastAsia="en-GB"/>
        </w:rPr>
        <w:t>.</w:t>
      </w:r>
    </w:p>
    <w:p w:rsidR="00B83EFE" w:rsidRDefault="00B83EFE" w:rsidP="002801A7">
      <w:pPr>
        <w:pStyle w:val="ListParagraph"/>
        <w:numPr>
          <w:ilvl w:val="1"/>
          <w:numId w:val="0"/>
        </w:numPr>
        <w:spacing w:before="240" w:after="240"/>
        <w:contextualSpacing w:val="0"/>
        <w:textAlignment w:val="baseline"/>
        <w:rPr>
          <w:rFonts w:asciiTheme="minorHAnsi" w:hAnsiTheme="minorHAnsi" w:cstheme="minorHAnsi"/>
          <w:lang w:eastAsia="en-GB"/>
        </w:rPr>
      </w:pPr>
    </w:p>
    <w:p w:rsidR="00A57CC8" w:rsidRDefault="00A57CC8" w:rsidP="00A57CC8">
      <w:pPr>
        <w:pStyle w:val="ListParagraph"/>
        <w:spacing w:before="240" w:after="240"/>
        <w:contextualSpacing w:val="0"/>
        <w:textAlignment w:val="baseline"/>
        <w:rPr>
          <w:rFonts w:asciiTheme="minorHAnsi" w:hAnsiTheme="minorHAnsi" w:cstheme="minorHAnsi"/>
          <w:lang w:eastAsia="en-GB"/>
        </w:rPr>
        <w:sectPr w:rsidR="00A57CC8" w:rsidSect="00BF0068">
          <w:headerReference w:type="first" r:id="rId12"/>
          <w:pgSz w:w="11906" w:h="16838" w:code="9"/>
          <w:pgMar w:top="1134" w:right="1440" w:bottom="851" w:left="1440" w:header="709" w:footer="851" w:gutter="0"/>
          <w:cols w:space="708"/>
          <w:docGrid w:linePitch="360"/>
        </w:sectPr>
      </w:pPr>
    </w:p>
    <w:p w:rsidR="00A57CC8" w:rsidRPr="00E32B6F" w:rsidRDefault="00A57CC8" w:rsidP="003618D6">
      <w:pPr>
        <w:pStyle w:val="ListParagraph"/>
        <w:contextualSpacing w:val="0"/>
        <w:textAlignment w:val="baseline"/>
        <w:rPr>
          <w:rFonts w:asciiTheme="minorHAnsi" w:hAnsiTheme="minorHAnsi" w:cstheme="minorHAnsi"/>
          <w:b/>
          <w:lang w:eastAsia="en-GB"/>
        </w:rPr>
      </w:pPr>
      <w:r w:rsidRPr="00E32B6F">
        <w:rPr>
          <w:rFonts w:asciiTheme="minorHAnsi" w:hAnsiTheme="minorHAnsi" w:cstheme="minorHAnsi"/>
          <w:b/>
          <w:lang w:eastAsia="en-GB"/>
        </w:rPr>
        <w:lastRenderedPageBreak/>
        <w:t xml:space="preserve">Table 4.1: </w:t>
      </w:r>
      <w:r w:rsidR="005332AA" w:rsidRPr="00E32B6F">
        <w:rPr>
          <w:rFonts w:asciiTheme="minorHAnsi" w:hAnsiTheme="minorHAnsi" w:cstheme="minorHAnsi"/>
          <w:b/>
          <w:lang w:eastAsia="en-GB"/>
        </w:rPr>
        <w:t>Residential and Employment Development Guidelines</w:t>
      </w:r>
      <w:r w:rsidR="00E32B6F" w:rsidRPr="00E32B6F">
        <w:rPr>
          <w:rFonts w:asciiTheme="minorHAnsi" w:hAnsiTheme="minorHAnsi" w:cstheme="minorHAnsi"/>
          <w:b/>
          <w:lang w:eastAsia="en-GB"/>
        </w:rPr>
        <w:t xml:space="preserve"> and Supply</w:t>
      </w:r>
      <w:r w:rsidR="00917724">
        <w:rPr>
          <w:rFonts w:asciiTheme="minorHAnsi" w:hAnsiTheme="minorHAnsi" w:cstheme="minorHAnsi"/>
          <w:b/>
          <w:lang w:eastAsia="en-GB"/>
        </w:rPr>
        <w:t xml:space="preserve"> - Summary</w:t>
      </w:r>
    </w:p>
    <w:p w:rsidR="00A57CC8" w:rsidRDefault="005332AA" w:rsidP="003618D6">
      <w:pPr>
        <w:pStyle w:val="ListParagraph"/>
        <w:spacing w:after="240"/>
        <w:contextualSpacing w:val="0"/>
        <w:textAlignment w:val="baseline"/>
        <w:rPr>
          <w:rFonts w:asciiTheme="minorHAnsi" w:hAnsiTheme="minorHAnsi" w:cstheme="minorHAnsi"/>
          <w:lang w:eastAsia="en-GB"/>
        </w:rPr>
      </w:pPr>
      <w:r>
        <w:rPr>
          <w:noProof/>
          <w:lang w:eastAsia="en-GB"/>
        </w:rPr>
        <w:drawing>
          <wp:inline distT="0" distB="0" distL="0" distR="0" wp14:anchorId="2A7EEEE0" wp14:editId="0BCA0159">
            <wp:extent cx="9401175" cy="4396323"/>
            <wp:effectExtent l="19050" t="1905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12" t="26032" r="22339" b="10413"/>
                    <a:stretch/>
                  </pic:blipFill>
                  <pic:spPr bwMode="auto">
                    <a:xfrm>
                      <a:off x="0" y="0"/>
                      <a:ext cx="9423159" cy="4406604"/>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rsidR="0080531D" w:rsidRPr="0080531D" w:rsidRDefault="0080531D" w:rsidP="0080531D">
      <w:pPr>
        <w:pStyle w:val="ListParagraph"/>
        <w:numPr>
          <w:ilvl w:val="1"/>
          <w:numId w:val="1"/>
        </w:numPr>
        <w:spacing w:before="240" w:line="300" w:lineRule="auto"/>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As well as summarising the figures in Appendices 5 and 6 of the Draft Plan, our tables also show the estimated dwellings as derived from the Hierarchy of Settlements tables; the percentage increase on </w:t>
      </w:r>
      <w:r w:rsidR="00790DFF">
        <w:rPr>
          <w:rFonts w:asciiTheme="minorHAnsi" w:hAnsiTheme="minorHAnsi" w:cstheme="minorHAnsi"/>
          <w:lang w:eastAsia="en-GB"/>
        </w:rPr>
        <w:t>those HoS figures</w:t>
      </w:r>
      <w:r>
        <w:rPr>
          <w:rFonts w:asciiTheme="minorHAnsi" w:hAnsiTheme="minorHAnsi" w:cstheme="minorHAnsi"/>
          <w:lang w:eastAsia="en-GB"/>
        </w:rPr>
        <w:t xml:space="preserve"> that the residential guideline for each settlement would </w:t>
      </w:r>
      <w:r w:rsidR="00790DFF">
        <w:rPr>
          <w:rFonts w:asciiTheme="minorHAnsi" w:hAnsiTheme="minorHAnsi" w:cstheme="minorHAnsi"/>
          <w:lang w:eastAsia="en-GB"/>
        </w:rPr>
        <w:t>represent</w:t>
      </w:r>
      <w:r>
        <w:rPr>
          <w:rFonts w:asciiTheme="minorHAnsi" w:hAnsiTheme="minorHAnsi" w:cstheme="minorHAnsi"/>
          <w:lang w:eastAsia="en-GB"/>
        </w:rPr>
        <w:t>; and a calculation of “balanced” employment land which is explained later on.  The detailed tables below also indicate, in the “check” col</w:t>
      </w:r>
      <w:r w:rsidR="00790DFF">
        <w:rPr>
          <w:rFonts w:asciiTheme="minorHAnsi" w:hAnsiTheme="minorHAnsi" w:cstheme="minorHAnsi"/>
          <w:lang w:eastAsia="en-GB"/>
        </w:rPr>
        <w:t>umn, where figures in Appendix 5</w:t>
      </w:r>
      <w:r>
        <w:rPr>
          <w:rFonts w:asciiTheme="minorHAnsi" w:hAnsiTheme="minorHAnsi" w:cstheme="minorHAnsi"/>
          <w:lang w:eastAsia="en-GB"/>
        </w:rPr>
        <w:t xml:space="preserve"> for particular settlements do not cross-cast.</w:t>
      </w:r>
      <w:r w:rsidR="00790DFF">
        <w:rPr>
          <w:rFonts w:asciiTheme="minorHAnsi" w:hAnsiTheme="minorHAnsi" w:cstheme="minorHAnsi"/>
          <w:lang w:eastAsia="en-GB"/>
        </w:rPr>
        <w:t xml:space="preserve">  We have also highlighted the develop</w:t>
      </w:r>
      <w:r w:rsidR="009A3703">
        <w:rPr>
          <w:rFonts w:asciiTheme="minorHAnsi" w:hAnsiTheme="minorHAnsi" w:cstheme="minorHAnsi"/>
          <w:lang w:eastAsia="en-GB"/>
        </w:rPr>
        <w:t>ment gu</w:t>
      </w:r>
      <w:r w:rsidR="00790DFF">
        <w:rPr>
          <w:rFonts w:asciiTheme="minorHAnsi" w:hAnsiTheme="minorHAnsi" w:cstheme="minorHAnsi"/>
          <w:lang w:eastAsia="en-GB"/>
        </w:rPr>
        <w:t>idelines and the allocations within the Draft Plan.</w:t>
      </w:r>
      <w:r w:rsidR="008719D8">
        <w:rPr>
          <w:rFonts w:asciiTheme="minorHAnsi" w:hAnsiTheme="minorHAnsi" w:cstheme="minorHAnsi"/>
          <w:lang w:eastAsia="en-GB"/>
        </w:rPr>
        <w:t xml:space="preserve"> The ABCA figures have been excluded from the totals because they are proposed to be absorbed.</w:t>
      </w:r>
    </w:p>
    <w:p w:rsidR="0080531D" w:rsidRDefault="0080531D" w:rsidP="00A57CC8">
      <w:pPr>
        <w:pStyle w:val="ListParagraph"/>
        <w:spacing w:before="240" w:after="240"/>
        <w:contextualSpacing w:val="0"/>
        <w:textAlignment w:val="baseline"/>
        <w:rPr>
          <w:rFonts w:asciiTheme="minorHAnsi" w:hAnsiTheme="minorHAnsi" w:cstheme="minorHAnsi"/>
          <w:lang w:eastAsia="en-GB"/>
        </w:rPr>
        <w:sectPr w:rsidR="0080531D" w:rsidSect="00A9153A">
          <w:pgSz w:w="16838" w:h="11906" w:orient="landscape" w:code="9"/>
          <w:pgMar w:top="567" w:right="1134" w:bottom="1440" w:left="851" w:header="567" w:footer="851" w:gutter="0"/>
          <w:cols w:space="708"/>
          <w:docGrid w:linePitch="360"/>
        </w:sectPr>
      </w:pPr>
    </w:p>
    <w:p w:rsidR="00917724" w:rsidRPr="00E32B6F" w:rsidRDefault="00917724" w:rsidP="003A6425">
      <w:pPr>
        <w:pStyle w:val="ListParagraph"/>
        <w:contextualSpacing w:val="0"/>
        <w:textAlignment w:val="baseline"/>
        <w:rPr>
          <w:rFonts w:asciiTheme="minorHAnsi" w:hAnsiTheme="minorHAnsi" w:cstheme="minorHAnsi"/>
          <w:b/>
          <w:lang w:eastAsia="en-GB"/>
        </w:rPr>
      </w:pPr>
      <w:r w:rsidRPr="00E32B6F">
        <w:rPr>
          <w:rFonts w:asciiTheme="minorHAnsi" w:hAnsiTheme="minorHAnsi" w:cstheme="minorHAnsi"/>
          <w:b/>
          <w:lang w:eastAsia="en-GB"/>
        </w:rPr>
        <w:lastRenderedPageBreak/>
        <w:t>T</w:t>
      </w:r>
      <w:r>
        <w:rPr>
          <w:rFonts w:asciiTheme="minorHAnsi" w:hAnsiTheme="minorHAnsi" w:cstheme="minorHAnsi"/>
          <w:b/>
          <w:lang w:eastAsia="en-GB"/>
        </w:rPr>
        <w:t>able 4.2</w:t>
      </w:r>
      <w:r w:rsidRPr="00E32B6F">
        <w:rPr>
          <w:rFonts w:asciiTheme="minorHAnsi" w:hAnsiTheme="minorHAnsi" w:cstheme="minorHAnsi"/>
          <w:b/>
          <w:lang w:eastAsia="en-GB"/>
        </w:rPr>
        <w:t>: Residential and Employment Development Guidelines and Supply</w:t>
      </w:r>
      <w:r>
        <w:rPr>
          <w:rFonts w:asciiTheme="minorHAnsi" w:hAnsiTheme="minorHAnsi" w:cstheme="minorHAnsi"/>
          <w:b/>
          <w:lang w:eastAsia="en-GB"/>
        </w:rPr>
        <w:t xml:space="preserve"> – Settlements other than Hubs</w:t>
      </w:r>
    </w:p>
    <w:p w:rsidR="00130F31" w:rsidRDefault="003A6425" w:rsidP="003A6425">
      <w:pPr>
        <w:pStyle w:val="ListParagraph"/>
        <w:spacing w:after="0"/>
        <w:contextualSpacing w:val="0"/>
        <w:textAlignment w:val="baseline"/>
        <w:rPr>
          <w:rFonts w:asciiTheme="minorHAnsi" w:hAnsiTheme="minorHAnsi" w:cstheme="minorHAnsi"/>
          <w:lang w:eastAsia="en-GB"/>
        </w:rPr>
        <w:sectPr w:rsidR="00130F31" w:rsidSect="001F1BE1">
          <w:pgSz w:w="16838" w:h="11906" w:orient="landscape" w:code="9"/>
          <w:pgMar w:top="567" w:right="567" w:bottom="1440" w:left="851" w:header="567" w:footer="851" w:gutter="0"/>
          <w:cols w:space="708"/>
          <w:docGrid w:linePitch="360"/>
        </w:sectPr>
      </w:pPr>
      <w:r>
        <w:rPr>
          <w:noProof/>
          <w:lang w:eastAsia="en-GB"/>
        </w:rPr>
        <w:drawing>
          <wp:inline distT="0" distB="0" distL="0" distR="0" wp14:anchorId="49BC3ECA" wp14:editId="41C53FBF">
            <wp:extent cx="9583716" cy="5381625"/>
            <wp:effectExtent l="19050" t="1905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68" t="25248" r="35603" b="11632"/>
                    <a:stretch/>
                  </pic:blipFill>
                  <pic:spPr bwMode="auto">
                    <a:xfrm>
                      <a:off x="0" y="0"/>
                      <a:ext cx="9602055" cy="5391923"/>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rsidR="00130F31" w:rsidRPr="00E32B6F" w:rsidRDefault="00130F31" w:rsidP="003A6425">
      <w:pPr>
        <w:pStyle w:val="ListParagraph"/>
        <w:contextualSpacing w:val="0"/>
        <w:textAlignment w:val="baseline"/>
        <w:rPr>
          <w:rFonts w:asciiTheme="minorHAnsi" w:hAnsiTheme="minorHAnsi" w:cstheme="minorHAnsi"/>
          <w:b/>
          <w:lang w:eastAsia="en-GB"/>
        </w:rPr>
      </w:pPr>
      <w:r w:rsidRPr="00E32B6F">
        <w:rPr>
          <w:rFonts w:asciiTheme="minorHAnsi" w:hAnsiTheme="minorHAnsi" w:cstheme="minorHAnsi"/>
          <w:b/>
          <w:lang w:eastAsia="en-GB"/>
        </w:rPr>
        <w:lastRenderedPageBreak/>
        <w:t>T</w:t>
      </w:r>
      <w:r>
        <w:rPr>
          <w:rFonts w:asciiTheme="minorHAnsi" w:hAnsiTheme="minorHAnsi" w:cstheme="minorHAnsi"/>
          <w:b/>
          <w:lang w:eastAsia="en-GB"/>
        </w:rPr>
        <w:t>able 4.3</w:t>
      </w:r>
      <w:r w:rsidRPr="00E32B6F">
        <w:rPr>
          <w:rFonts w:asciiTheme="minorHAnsi" w:hAnsiTheme="minorHAnsi" w:cstheme="minorHAnsi"/>
          <w:b/>
          <w:lang w:eastAsia="en-GB"/>
        </w:rPr>
        <w:t>: Residential and Employment Development Guidelines and Supply</w:t>
      </w:r>
      <w:r>
        <w:rPr>
          <w:rFonts w:asciiTheme="minorHAnsi" w:hAnsiTheme="minorHAnsi" w:cstheme="minorHAnsi"/>
          <w:b/>
          <w:lang w:eastAsia="en-GB"/>
        </w:rPr>
        <w:t xml:space="preserve"> – Hubs</w:t>
      </w:r>
    </w:p>
    <w:p w:rsidR="003A6425" w:rsidRDefault="003A6425" w:rsidP="003A6425">
      <w:pPr>
        <w:pStyle w:val="ListParagraph"/>
        <w:spacing w:after="0"/>
        <w:contextualSpacing w:val="0"/>
        <w:textAlignment w:val="baseline"/>
        <w:rPr>
          <w:rFonts w:asciiTheme="minorHAnsi" w:hAnsiTheme="minorHAnsi" w:cstheme="minorHAnsi"/>
          <w:lang w:eastAsia="en-GB"/>
        </w:rPr>
        <w:sectPr w:rsidR="003A6425" w:rsidSect="001F1BE1">
          <w:pgSz w:w="16838" w:h="11906" w:orient="landscape" w:code="9"/>
          <w:pgMar w:top="567" w:right="567" w:bottom="1440" w:left="851" w:header="567" w:footer="851" w:gutter="0"/>
          <w:cols w:space="708"/>
          <w:docGrid w:linePitch="360"/>
        </w:sectPr>
      </w:pPr>
      <w:r>
        <w:rPr>
          <w:noProof/>
          <w:lang w:eastAsia="en-GB"/>
        </w:rPr>
        <w:drawing>
          <wp:inline distT="0" distB="0" distL="0" distR="0" wp14:anchorId="2D0E3095" wp14:editId="4AD43F4C">
            <wp:extent cx="7124700" cy="5699760"/>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73" t="24902" r="52335" b="8692"/>
                    <a:stretch/>
                  </pic:blipFill>
                  <pic:spPr bwMode="auto">
                    <a:xfrm>
                      <a:off x="0" y="0"/>
                      <a:ext cx="7124700" cy="5699760"/>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rsidR="008C3C4A" w:rsidRDefault="008C3C4A" w:rsidP="008C3C4A">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lastRenderedPageBreak/>
        <w:t>In order fully to set out our case it is necessary first to elaborate further on the climate emergency, on housing numbers, and on employment land numbers.</w:t>
      </w:r>
    </w:p>
    <w:p w:rsidR="003755D4" w:rsidRPr="00BF0068" w:rsidRDefault="008C3C4A" w:rsidP="00BF0068">
      <w:pPr>
        <w:pStyle w:val="Heading3"/>
        <w:spacing w:before="240" w:after="120"/>
        <w:rPr>
          <w:rFonts w:asciiTheme="minorHAnsi" w:eastAsiaTheme="minorHAnsi" w:hAnsiTheme="minorHAnsi" w:cstheme="minorHAnsi"/>
          <w:b/>
          <w:i/>
          <w:color w:val="0070C0"/>
          <w:lang w:eastAsia="en-GB"/>
        </w:rPr>
      </w:pPr>
      <w:bookmarkStart w:id="12" w:name="_Toc65242899"/>
      <w:r w:rsidRPr="004959BA">
        <w:rPr>
          <w:rFonts w:asciiTheme="minorHAnsi" w:eastAsiaTheme="minorHAnsi" w:hAnsiTheme="minorHAnsi" w:cstheme="minorHAnsi"/>
          <w:b/>
          <w:i/>
          <w:color w:val="0070C0"/>
          <w:lang w:eastAsia="en-GB"/>
        </w:rPr>
        <w:t>The climate emergency</w:t>
      </w:r>
      <w:r w:rsidR="00121276" w:rsidRPr="004959BA">
        <w:rPr>
          <w:rFonts w:asciiTheme="minorHAnsi" w:eastAsiaTheme="minorHAnsi" w:hAnsiTheme="minorHAnsi" w:cstheme="minorHAnsi"/>
          <w:b/>
          <w:i/>
          <w:color w:val="0070C0"/>
          <w:lang w:eastAsia="en-GB"/>
        </w:rPr>
        <w:t xml:space="preserve"> and carbon footprints</w:t>
      </w:r>
      <w:bookmarkEnd w:id="12"/>
    </w:p>
    <w:p w:rsidR="00DF792F" w:rsidRPr="00621B52" w:rsidRDefault="00DF792F" w:rsidP="00621B52">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szCs w:val="24"/>
        </w:rPr>
      </w:pPr>
      <w:r>
        <w:rPr>
          <w:rFonts w:asciiTheme="minorHAnsi" w:hAnsiTheme="minorHAnsi" w:cstheme="minorHAnsi"/>
          <w:color w:val="000000"/>
          <w:szCs w:val="24"/>
        </w:rPr>
        <w:t xml:space="preserve">The overwhelming importance of climate change considerations was recognised by Shropshire Council by its </w:t>
      </w:r>
      <w:r w:rsidRPr="00DF792F">
        <w:rPr>
          <w:rFonts w:asciiTheme="minorHAnsi" w:hAnsiTheme="minorHAnsi" w:cstheme="minorHAnsi"/>
          <w:color w:val="000000"/>
          <w:szCs w:val="24"/>
        </w:rPr>
        <w:t>decla</w:t>
      </w:r>
      <w:r>
        <w:rPr>
          <w:rFonts w:asciiTheme="minorHAnsi" w:hAnsiTheme="minorHAnsi" w:cstheme="minorHAnsi"/>
          <w:color w:val="000000"/>
          <w:szCs w:val="24"/>
        </w:rPr>
        <w:t>ra</w:t>
      </w:r>
      <w:r w:rsidRPr="00DF792F">
        <w:rPr>
          <w:rFonts w:asciiTheme="minorHAnsi" w:hAnsiTheme="minorHAnsi" w:cstheme="minorHAnsi"/>
          <w:color w:val="000000"/>
          <w:szCs w:val="24"/>
        </w:rPr>
        <w:t>tion of a climate emergency in May 2019</w:t>
      </w:r>
      <w:r>
        <w:rPr>
          <w:rFonts w:asciiTheme="minorHAnsi" w:hAnsiTheme="minorHAnsi" w:cstheme="minorHAnsi"/>
          <w:color w:val="000000"/>
          <w:szCs w:val="24"/>
        </w:rPr>
        <w:t>.</w:t>
      </w:r>
      <w:r w:rsidR="00621B52">
        <w:rPr>
          <w:rFonts w:asciiTheme="minorHAnsi" w:hAnsiTheme="minorHAnsi" w:cstheme="minorHAnsi"/>
          <w:color w:val="000000"/>
          <w:szCs w:val="24"/>
        </w:rPr>
        <w:t xml:space="preserve">  Surprisingly, this declaration is not mentioned at all within policy SP3: Clima</w:t>
      </w:r>
      <w:r w:rsidR="008157E1">
        <w:rPr>
          <w:rFonts w:asciiTheme="minorHAnsi" w:hAnsiTheme="minorHAnsi" w:cstheme="minorHAnsi"/>
          <w:color w:val="000000"/>
          <w:szCs w:val="24"/>
        </w:rPr>
        <w:t xml:space="preserve">te Change; it is mentioned </w:t>
      </w:r>
      <w:r w:rsidR="00621B52">
        <w:rPr>
          <w:rFonts w:asciiTheme="minorHAnsi" w:hAnsiTheme="minorHAnsi" w:cstheme="minorHAnsi"/>
          <w:color w:val="000000"/>
          <w:szCs w:val="24"/>
        </w:rPr>
        <w:t xml:space="preserve">only </w:t>
      </w:r>
      <w:r w:rsidR="008157E1">
        <w:rPr>
          <w:rFonts w:asciiTheme="minorHAnsi" w:hAnsiTheme="minorHAnsi" w:cstheme="minorHAnsi"/>
          <w:color w:val="000000"/>
          <w:szCs w:val="24"/>
        </w:rPr>
        <w:t>twice in the whole Draft Plan</w:t>
      </w:r>
      <w:r w:rsidR="008157E1">
        <w:rPr>
          <w:rStyle w:val="FootnoteReference"/>
          <w:rFonts w:asciiTheme="minorHAnsi" w:hAnsiTheme="minorHAnsi" w:cstheme="minorHAnsi"/>
          <w:color w:val="000000"/>
          <w:szCs w:val="24"/>
        </w:rPr>
        <w:footnoteReference w:id="4"/>
      </w:r>
      <w:r w:rsidR="00621B52">
        <w:rPr>
          <w:rFonts w:asciiTheme="minorHAnsi" w:hAnsiTheme="minorHAnsi" w:cstheme="minorHAnsi"/>
          <w:color w:val="000000"/>
          <w:szCs w:val="24"/>
        </w:rPr>
        <w:t xml:space="preserve">.  There is therefore little sense of </w:t>
      </w:r>
      <w:r w:rsidR="00621B52" w:rsidRPr="00621B52">
        <w:rPr>
          <w:rFonts w:asciiTheme="minorHAnsi" w:hAnsiTheme="minorHAnsi" w:cstheme="minorHAnsi"/>
          <w:color w:val="000000"/>
          <w:szCs w:val="24"/>
          <w:u w:val="single"/>
        </w:rPr>
        <w:t>emergency</w:t>
      </w:r>
      <w:r w:rsidR="00621B52">
        <w:rPr>
          <w:rFonts w:asciiTheme="minorHAnsi" w:hAnsiTheme="minorHAnsi" w:cstheme="minorHAnsi"/>
          <w:color w:val="000000"/>
          <w:szCs w:val="24"/>
        </w:rPr>
        <w:t xml:space="preserve"> within the Draft Plan.</w:t>
      </w:r>
    </w:p>
    <w:p w:rsidR="00556E68" w:rsidRPr="00121276" w:rsidRDefault="00556E68" w:rsidP="00556E68">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szCs w:val="24"/>
        </w:rPr>
      </w:pPr>
      <w:r>
        <w:rPr>
          <w:rFonts w:asciiTheme="minorHAnsi" w:hAnsiTheme="minorHAnsi" w:cstheme="minorHAnsi"/>
          <w:lang w:eastAsia="en-GB"/>
        </w:rPr>
        <w:t>The</w:t>
      </w:r>
      <w:r w:rsidR="008C3C4A">
        <w:rPr>
          <w:rFonts w:asciiTheme="minorHAnsi" w:hAnsiTheme="minorHAnsi" w:cstheme="minorHAnsi"/>
          <w:lang w:eastAsia="en-GB"/>
        </w:rPr>
        <w:t xml:space="preserve"> </w:t>
      </w:r>
      <w:r w:rsidRPr="00556E68">
        <w:rPr>
          <w:rFonts w:asciiTheme="minorHAnsi" w:hAnsiTheme="minorHAnsi" w:cstheme="minorHAnsi"/>
          <w:lang w:eastAsia="en-GB"/>
        </w:rPr>
        <w:t>Shropshire Climate Change Strategy Framework</w:t>
      </w:r>
      <w:r>
        <w:rPr>
          <w:rFonts w:asciiTheme="minorHAnsi" w:hAnsiTheme="minorHAnsi" w:cstheme="minorHAnsi"/>
          <w:lang w:eastAsia="en-GB"/>
        </w:rPr>
        <w:t xml:space="preserve"> as posted within the Evidence Base is dated 19 December 2019 and </w:t>
      </w:r>
      <w:r w:rsidR="00BA2EEC">
        <w:rPr>
          <w:rFonts w:asciiTheme="minorHAnsi" w:hAnsiTheme="minorHAnsi" w:cstheme="minorHAnsi"/>
          <w:lang w:eastAsia="en-GB"/>
        </w:rPr>
        <w:t>its effect has recently been updated</w:t>
      </w:r>
      <w:r>
        <w:rPr>
          <w:rFonts w:asciiTheme="minorHAnsi" w:hAnsiTheme="minorHAnsi" w:cstheme="minorHAnsi"/>
          <w:lang w:eastAsia="en-GB"/>
        </w:rPr>
        <w:t>.  A new document, “</w:t>
      </w:r>
      <w:r w:rsidRPr="00556E68">
        <w:rPr>
          <w:rFonts w:asciiTheme="minorHAnsi" w:hAnsiTheme="minorHAnsi" w:cstheme="minorHAnsi"/>
          <w:bCs/>
          <w:color w:val="000000"/>
          <w:szCs w:val="24"/>
        </w:rPr>
        <w:t xml:space="preserve">Shropshire Council - Towards Net-Zero Carbon - </w:t>
      </w:r>
      <w:r w:rsidRPr="00556E68">
        <w:rPr>
          <w:rFonts w:asciiTheme="minorHAnsi" w:hAnsiTheme="minorHAnsi" w:cstheme="minorHAnsi"/>
          <w:bCs/>
          <w:i/>
          <w:iCs/>
          <w:color w:val="000000"/>
          <w:szCs w:val="24"/>
        </w:rPr>
        <w:t>Corporate Climate Strategy</w:t>
      </w:r>
      <w:r>
        <w:rPr>
          <w:rFonts w:asciiTheme="minorHAnsi" w:hAnsiTheme="minorHAnsi" w:cstheme="minorHAnsi"/>
          <w:bCs/>
          <w:i/>
          <w:iCs/>
          <w:color w:val="000000"/>
          <w:szCs w:val="24"/>
        </w:rPr>
        <w:t>”</w:t>
      </w:r>
      <w:r>
        <w:rPr>
          <w:rFonts w:asciiTheme="minorHAnsi" w:hAnsiTheme="minorHAnsi" w:cstheme="minorHAnsi"/>
          <w:bCs/>
          <w:i/>
          <w:iCs/>
          <w:color w:val="000000"/>
        </w:rPr>
        <w:t xml:space="preserve">, </w:t>
      </w:r>
      <w:r w:rsidR="00121276">
        <w:rPr>
          <w:rFonts w:asciiTheme="minorHAnsi" w:hAnsiTheme="minorHAnsi" w:cstheme="minorHAnsi"/>
          <w:bCs/>
          <w:iCs/>
          <w:color w:val="000000"/>
        </w:rPr>
        <w:t xml:space="preserve">dated November 2020 </w:t>
      </w:r>
      <w:r w:rsidRPr="00556E68">
        <w:rPr>
          <w:rFonts w:asciiTheme="minorHAnsi" w:hAnsiTheme="minorHAnsi" w:cstheme="minorHAnsi"/>
          <w:bCs/>
          <w:iCs/>
          <w:color w:val="000000"/>
        </w:rPr>
        <w:t>was adopted by Full Council on 17 December 2020</w:t>
      </w:r>
      <w:r>
        <w:rPr>
          <w:rStyle w:val="FootnoteReference"/>
          <w:rFonts w:asciiTheme="minorHAnsi" w:hAnsiTheme="minorHAnsi" w:cstheme="minorHAnsi"/>
          <w:bCs/>
          <w:i/>
          <w:iCs/>
          <w:color w:val="000000"/>
        </w:rPr>
        <w:footnoteReference w:id="5"/>
      </w:r>
      <w:r>
        <w:rPr>
          <w:rFonts w:asciiTheme="minorHAnsi" w:hAnsiTheme="minorHAnsi" w:cstheme="minorHAnsi"/>
          <w:bCs/>
          <w:iCs/>
          <w:color w:val="000000"/>
        </w:rPr>
        <w:t>.</w:t>
      </w:r>
      <w:r w:rsidR="00121276">
        <w:rPr>
          <w:rFonts w:asciiTheme="minorHAnsi" w:hAnsiTheme="minorHAnsi" w:cstheme="minorHAnsi"/>
          <w:bCs/>
          <w:iCs/>
          <w:color w:val="000000"/>
        </w:rPr>
        <w:t xml:space="preserve">  </w:t>
      </w:r>
      <w:r w:rsidR="00621B52">
        <w:rPr>
          <w:rFonts w:asciiTheme="minorHAnsi" w:hAnsiTheme="minorHAnsi" w:cstheme="minorHAnsi"/>
          <w:bCs/>
          <w:iCs/>
          <w:color w:val="000000"/>
        </w:rPr>
        <w:t xml:space="preserve">At the time of writing this </w:t>
      </w:r>
      <w:r w:rsidR="00BA2EEC">
        <w:rPr>
          <w:rFonts w:asciiTheme="minorHAnsi" w:hAnsiTheme="minorHAnsi" w:cstheme="minorHAnsi"/>
          <w:bCs/>
          <w:iCs/>
          <w:color w:val="000000"/>
        </w:rPr>
        <w:t xml:space="preserve">CPRE </w:t>
      </w:r>
      <w:r w:rsidR="00621B52">
        <w:rPr>
          <w:rFonts w:asciiTheme="minorHAnsi" w:hAnsiTheme="minorHAnsi" w:cstheme="minorHAnsi"/>
          <w:bCs/>
          <w:iCs/>
          <w:color w:val="000000"/>
        </w:rPr>
        <w:t xml:space="preserve">response, </w:t>
      </w:r>
      <w:r w:rsidR="00121276">
        <w:rPr>
          <w:rFonts w:asciiTheme="minorHAnsi" w:hAnsiTheme="minorHAnsi" w:cstheme="minorHAnsi"/>
          <w:bCs/>
          <w:iCs/>
          <w:color w:val="000000"/>
        </w:rPr>
        <w:t>t</w:t>
      </w:r>
      <w:r w:rsidR="00621B52">
        <w:rPr>
          <w:rFonts w:asciiTheme="minorHAnsi" w:hAnsiTheme="minorHAnsi" w:cstheme="minorHAnsi"/>
          <w:bCs/>
          <w:iCs/>
          <w:color w:val="000000"/>
        </w:rPr>
        <w:t>his latest document has yet</w:t>
      </w:r>
      <w:r w:rsidR="00121276">
        <w:rPr>
          <w:rFonts w:asciiTheme="minorHAnsi" w:hAnsiTheme="minorHAnsi" w:cstheme="minorHAnsi"/>
          <w:bCs/>
          <w:iCs/>
          <w:color w:val="000000"/>
        </w:rPr>
        <w:t xml:space="preserve"> to be posted to the Evidence Base, or to the Council’s webpage for Climate Change Strategy</w:t>
      </w:r>
      <w:r w:rsidR="00121276">
        <w:rPr>
          <w:rStyle w:val="FootnoteReference"/>
          <w:rFonts w:asciiTheme="minorHAnsi" w:hAnsiTheme="minorHAnsi" w:cstheme="minorHAnsi"/>
          <w:bCs/>
          <w:iCs/>
          <w:color w:val="000000"/>
        </w:rPr>
        <w:footnoteReference w:id="6"/>
      </w:r>
      <w:r w:rsidR="00121276">
        <w:rPr>
          <w:rFonts w:asciiTheme="minorHAnsi" w:hAnsiTheme="minorHAnsi" w:cstheme="minorHAnsi"/>
          <w:bCs/>
          <w:iCs/>
          <w:color w:val="000000"/>
        </w:rPr>
        <w:t>. On its page 3 it shows Shropshire Council’s own carbon footprint to be as follows:</w:t>
      </w:r>
    </w:p>
    <w:p w:rsidR="00121276" w:rsidRPr="00556E68" w:rsidRDefault="00121276" w:rsidP="00121276">
      <w:pPr>
        <w:pStyle w:val="ListParagraph"/>
        <w:spacing w:before="240" w:line="300" w:lineRule="auto"/>
        <w:contextualSpacing w:val="0"/>
        <w:textAlignment w:val="baseline"/>
        <w:rPr>
          <w:rFonts w:asciiTheme="minorHAnsi" w:hAnsiTheme="minorHAnsi" w:cstheme="minorHAnsi"/>
          <w:color w:val="000000"/>
          <w:szCs w:val="24"/>
        </w:rPr>
      </w:pPr>
      <w:r>
        <w:rPr>
          <w:noProof/>
          <w:lang w:eastAsia="en-GB"/>
        </w:rPr>
        <w:drawing>
          <wp:inline distT="0" distB="0" distL="0" distR="0" wp14:anchorId="3273FAEB" wp14:editId="4BF3C4F2">
            <wp:extent cx="5385414" cy="3413291"/>
            <wp:effectExtent l="19050" t="1905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488" t="34213" r="33478" b="17296"/>
                    <a:stretch/>
                  </pic:blipFill>
                  <pic:spPr bwMode="auto">
                    <a:xfrm>
                      <a:off x="0" y="0"/>
                      <a:ext cx="5437098" cy="344604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556E68" w:rsidRPr="00A70FB0" w:rsidRDefault="00D96AC9" w:rsidP="00556E68">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szCs w:val="24"/>
        </w:rPr>
      </w:pPr>
      <w:r>
        <w:rPr>
          <w:rFonts w:asciiTheme="minorHAnsi" w:hAnsiTheme="minorHAnsi" w:cstheme="minorHAnsi"/>
          <w:color w:val="000000"/>
          <w:szCs w:val="24"/>
        </w:rPr>
        <w:lastRenderedPageBreak/>
        <w:t xml:space="preserve">Paragraph 2.3 of </w:t>
      </w:r>
      <w:r w:rsidR="00121276">
        <w:rPr>
          <w:rFonts w:asciiTheme="minorHAnsi" w:hAnsiTheme="minorHAnsi" w:cstheme="minorHAnsi"/>
          <w:color w:val="000000"/>
          <w:szCs w:val="24"/>
        </w:rPr>
        <w:t xml:space="preserve">this latest report </w:t>
      </w:r>
      <w:r>
        <w:rPr>
          <w:rFonts w:asciiTheme="minorHAnsi" w:hAnsiTheme="minorHAnsi" w:cstheme="minorHAnsi"/>
          <w:color w:val="000000"/>
          <w:szCs w:val="24"/>
        </w:rPr>
        <w:t xml:space="preserve">states </w:t>
      </w:r>
      <w:r w:rsidR="00121276">
        <w:rPr>
          <w:rFonts w:asciiTheme="minorHAnsi" w:hAnsiTheme="minorHAnsi" w:cstheme="minorHAnsi"/>
          <w:color w:val="000000"/>
          <w:szCs w:val="24"/>
        </w:rPr>
        <w:t xml:space="preserve">that </w:t>
      </w:r>
      <w:r w:rsidRPr="00D96AC9">
        <w:rPr>
          <w:rFonts w:asciiTheme="minorHAnsi" w:hAnsiTheme="minorHAnsi" w:cstheme="minorHAnsi"/>
          <w:i/>
          <w:color w:val="000000"/>
          <w:szCs w:val="24"/>
        </w:rPr>
        <w:t>“the Council’s footprint represents only around 1% of Shropshire’s total carbon footprint”.</w:t>
      </w:r>
      <w:r w:rsidR="00FE5F90">
        <w:rPr>
          <w:rFonts w:asciiTheme="minorHAnsi" w:hAnsiTheme="minorHAnsi" w:cstheme="minorHAnsi"/>
          <w:color w:val="000000"/>
          <w:szCs w:val="24"/>
        </w:rPr>
        <w:t xml:space="preserve"> Shropshire Council’s approach to the other 99% of Shropshire’s emissions is to lead by example.  In paragraph 1.3 it says that </w:t>
      </w:r>
      <w:r w:rsidR="00FE5F90" w:rsidRPr="00FE5F90">
        <w:rPr>
          <w:rFonts w:asciiTheme="minorHAnsi" w:hAnsiTheme="minorHAnsi" w:cstheme="minorHAnsi"/>
          <w:i/>
          <w:color w:val="000000"/>
          <w:szCs w:val="24"/>
        </w:rPr>
        <w:t>“placing the initial focus on our corporate performance allows the Council to ‘lead by example’, using its direct and indirect influence to foster a positive response to the challenge of the Climate Emergency by other public and private sector organisations”</w:t>
      </w:r>
      <w:r w:rsidR="00FE5F90">
        <w:rPr>
          <w:rFonts w:asciiTheme="minorHAnsi" w:hAnsiTheme="minorHAnsi" w:cstheme="minorHAnsi"/>
          <w:color w:val="000000"/>
          <w:szCs w:val="24"/>
        </w:rPr>
        <w:t xml:space="preserve">; and on page 10, under </w:t>
      </w:r>
      <w:r w:rsidR="00FE5F90" w:rsidRPr="00FE5F90">
        <w:rPr>
          <w:rFonts w:asciiTheme="minorHAnsi" w:hAnsiTheme="minorHAnsi" w:cstheme="minorHAnsi"/>
          <w:i/>
          <w:color w:val="000000"/>
          <w:szCs w:val="24"/>
        </w:rPr>
        <w:t>“Influence the behaviour of others”</w:t>
      </w:r>
      <w:r w:rsidR="00FE5F90">
        <w:rPr>
          <w:rFonts w:asciiTheme="minorHAnsi" w:hAnsiTheme="minorHAnsi" w:cstheme="minorHAnsi"/>
          <w:color w:val="000000"/>
          <w:szCs w:val="24"/>
        </w:rPr>
        <w:t xml:space="preserve"> it </w:t>
      </w:r>
      <w:r w:rsidR="00FE5F90" w:rsidRPr="00FE5F90">
        <w:rPr>
          <w:rFonts w:asciiTheme="minorHAnsi" w:hAnsiTheme="minorHAnsi" w:cstheme="minorHAnsi"/>
          <w:color w:val="000000"/>
          <w:szCs w:val="24"/>
        </w:rPr>
        <w:t xml:space="preserve">says </w:t>
      </w:r>
      <w:r w:rsidR="00FE5F90" w:rsidRPr="00FE5F90">
        <w:rPr>
          <w:rFonts w:asciiTheme="minorHAnsi" w:hAnsiTheme="minorHAnsi" w:cstheme="minorHAnsi"/>
          <w:i/>
          <w:color w:val="000000"/>
          <w:szCs w:val="24"/>
        </w:rPr>
        <w:t>“</w:t>
      </w:r>
      <w:r w:rsidR="00FE5F90" w:rsidRPr="00FE5F90">
        <w:rPr>
          <w:rFonts w:asciiTheme="minorHAnsi" w:hAnsiTheme="minorHAnsi" w:cstheme="minorHAnsi"/>
          <w:i/>
        </w:rPr>
        <w:t>we will lead by example and seek to positively influence the purchasing power or funding allocations of others like the Marches LEP and its members to favour low carbon initiatives and products”</w:t>
      </w:r>
      <w:r w:rsidR="00FE5F90" w:rsidRPr="00FE5F90">
        <w:rPr>
          <w:rFonts w:asciiTheme="minorHAnsi" w:hAnsiTheme="minorHAnsi" w:cstheme="minorHAnsi"/>
        </w:rPr>
        <w:t>.</w:t>
      </w:r>
    </w:p>
    <w:p w:rsidR="00A70FB0" w:rsidRDefault="00A70FB0" w:rsidP="00A70FB0">
      <w:pPr>
        <w:pStyle w:val="ListParagraph"/>
        <w:numPr>
          <w:ilvl w:val="1"/>
          <w:numId w:val="1"/>
        </w:numPr>
        <w:spacing w:before="240" w:line="300" w:lineRule="auto"/>
        <w:ind w:left="0" w:hanging="567"/>
        <w:contextualSpacing w:val="0"/>
        <w:textAlignment w:val="baseline"/>
        <w:rPr>
          <w:rFonts w:asciiTheme="minorHAnsi" w:hAnsiTheme="minorHAnsi" w:cstheme="minorHAnsi"/>
        </w:rPr>
      </w:pPr>
      <w:r>
        <w:rPr>
          <w:rFonts w:asciiTheme="minorHAnsi" w:hAnsiTheme="minorHAnsi" w:cstheme="minorHAnsi"/>
        </w:rPr>
        <w:t>The 2019 document (page 7</w:t>
      </w:r>
      <w:r w:rsidR="001432E5">
        <w:rPr>
          <w:rFonts w:asciiTheme="minorHAnsi" w:hAnsiTheme="minorHAnsi" w:cstheme="minorHAnsi"/>
        </w:rPr>
        <w:t>, section 5</w:t>
      </w:r>
      <w:r>
        <w:rPr>
          <w:rFonts w:asciiTheme="minorHAnsi" w:hAnsiTheme="minorHAnsi" w:cstheme="minorHAnsi"/>
        </w:rPr>
        <w:t>) had the key objective to: “</w:t>
      </w:r>
      <w:r w:rsidRPr="00A70FB0">
        <w:rPr>
          <w:rFonts w:asciiTheme="minorHAnsi" w:hAnsiTheme="minorHAnsi" w:cstheme="minorHAnsi"/>
          <w:i/>
        </w:rPr>
        <w:t>Reduce Shropshire Council’s greenhouse gas (GHG) emissions to net carbon zero by 2030 (GHG Scope 1,</w:t>
      </w:r>
      <w:r>
        <w:rPr>
          <w:rFonts w:asciiTheme="minorHAnsi" w:hAnsiTheme="minorHAnsi" w:cstheme="minorHAnsi"/>
          <w:i/>
        </w:rPr>
        <w:t xml:space="preserve"> </w:t>
      </w:r>
      <w:r w:rsidRPr="00A70FB0">
        <w:rPr>
          <w:rFonts w:asciiTheme="minorHAnsi" w:hAnsiTheme="minorHAnsi" w:cstheme="minorHAnsi"/>
          <w:i/>
        </w:rPr>
        <w:t>2 &amp; 3)</w:t>
      </w:r>
      <w:r>
        <w:rPr>
          <w:rFonts w:asciiTheme="minorHAnsi" w:hAnsiTheme="minorHAnsi" w:cstheme="minorHAnsi"/>
          <w:i/>
        </w:rPr>
        <w:t>”</w:t>
      </w:r>
      <w:r w:rsidRPr="00A70FB0">
        <w:rPr>
          <w:rFonts w:asciiTheme="minorHAnsi" w:hAnsiTheme="minorHAnsi" w:cstheme="minorHAnsi"/>
        </w:rPr>
        <w:t>.</w:t>
      </w:r>
      <w:r>
        <w:rPr>
          <w:rFonts w:asciiTheme="minorHAnsi" w:hAnsiTheme="minorHAnsi" w:cstheme="minorHAnsi"/>
        </w:rPr>
        <w:t xml:space="preserve">  The latest 2020 document states in paragraph 1.2: </w:t>
      </w:r>
      <w:r w:rsidRPr="00A70FB0">
        <w:rPr>
          <w:rFonts w:asciiTheme="minorHAnsi" w:hAnsiTheme="minorHAnsi" w:cstheme="minorHAnsi"/>
          <w:i/>
        </w:rPr>
        <w:t>“Shropshire Council declared a climate emergency in May 2019 and agreed a Strategy Framework in December 2019 which established the objective of net-zero corporate carbon performance by 2030”</w:t>
      </w:r>
      <w:r>
        <w:rPr>
          <w:rFonts w:ascii="Arial" w:hAnsi="Arial" w:cs="Arial"/>
          <w:color w:val="000000"/>
          <w:sz w:val="23"/>
          <w:szCs w:val="23"/>
        </w:rPr>
        <w:t>.</w:t>
      </w:r>
      <w:r w:rsidRPr="00A70FB0">
        <w:rPr>
          <w:rFonts w:ascii="Arial" w:hAnsi="Arial" w:cs="Arial"/>
          <w:color w:val="000000"/>
          <w:sz w:val="23"/>
          <w:szCs w:val="23"/>
        </w:rPr>
        <w:t xml:space="preserve"> </w:t>
      </w:r>
      <w:r w:rsidR="001432E5">
        <w:rPr>
          <w:rFonts w:ascii="Arial" w:hAnsi="Arial" w:cs="Arial"/>
          <w:color w:val="000000"/>
          <w:sz w:val="23"/>
          <w:szCs w:val="23"/>
        </w:rPr>
        <w:t xml:space="preserve"> </w:t>
      </w:r>
      <w:r w:rsidR="001432E5" w:rsidRPr="001432E5">
        <w:rPr>
          <w:rFonts w:asciiTheme="minorHAnsi" w:hAnsiTheme="minorHAnsi" w:cstheme="minorHAnsi"/>
        </w:rPr>
        <w:t>It repeats the same key objective, again on page 7, but now in section 3</w:t>
      </w:r>
      <w:r w:rsidR="001432E5">
        <w:rPr>
          <w:rFonts w:asciiTheme="minorHAnsi" w:hAnsiTheme="minorHAnsi" w:cstheme="minorHAnsi"/>
        </w:rPr>
        <w:t>.</w:t>
      </w:r>
    </w:p>
    <w:p w:rsidR="00A70FB0" w:rsidRPr="00405D3F" w:rsidRDefault="001432E5" w:rsidP="00A70FB0">
      <w:pPr>
        <w:pStyle w:val="ListParagraph"/>
        <w:numPr>
          <w:ilvl w:val="1"/>
          <w:numId w:val="1"/>
        </w:numPr>
        <w:spacing w:before="240" w:line="300" w:lineRule="auto"/>
        <w:ind w:left="0" w:hanging="567"/>
        <w:contextualSpacing w:val="0"/>
        <w:textAlignment w:val="baseline"/>
        <w:rPr>
          <w:rFonts w:asciiTheme="minorHAnsi" w:hAnsiTheme="minorHAnsi" w:cstheme="minorHAnsi"/>
        </w:rPr>
      </w:pPr>
      <w:r>
        <w:rPr>
          <w:rFonts w:asciiTheme="minorHAnsi" w:hAnsiTheme="minorHAnsi" w:cstheme="minorHAnsi"/>
        </w:rPr>
        <w:t xml:space="preserve">Nowhere in the Draft Plan is there the necessary urgency of policy to achieve this key objective of </w:t>
      </w:r>
      <w:r w:rsidR="00405D3F" w:rsidRPr="00405D3F">
        <w:rPr>
          <w:rFonts w:asciiTheme="minorHAnsi" w:hAnsiTheme="minorHAnsi" w:cstheme="minorHAnsi"/>
        </w:rPr>
        <w:t>net carbon zero by 2030, including Scope 3 GHG emissions</w:t>
      </w:r>
      <w:r w:rsidR="00405D3F">
        <w:rPr>
          <w:rFonts w:asciiTheme="minorHAnsi" w:hAnsiTheme="minorHAnsi" w:cstheme="minorHAnsi"/>
          <w:i/>
        </w:rPr>
        <w:t>.</w:t>
      </w:r>
    </w:p>
    <w:p w:rsidR="00BA2EEC" w:rsidRPr="00BA2EEC" w:rsidRDefault="00FE5F90" w:rsidP="00BA2EEC">
      <w:pPr>
        <w:pStyle w:val="ListParagraph"/>
        <w:numPr>
          <w:ilvl w:val="1"/>
          <w:numId w:val="1"/>
        </w:numPr>
        <w:spacing w:before="240" w:line="300" w:lineRule="auto"/>
        <w:ind w:left="0" w:hanging="567"/>
        <w:contextualSpacing w:val="0"/>
        <w:textAlignment w:val="baseline"/>
        <w:rPr>
          <w:rFonts w:ascii="Calibri" w:hAnsi="Calibri" w:cs="Calibri"/>
          <w:color w:val="000000"/>
          <w:sz w:val="22"/>
          <w:lang w:eastAsia="en-GB"/>
        </w:rPr>
      </w:pPr>
      <w:r w:rsidRPr="00A12A2B">
        <w:rPr>
          <w:rFonts w:asciiTheme="minorHAnsi" w:hAnsiTheme="minorHAnsi" w:cstheme="minorHAnsi"/>
          <w:szCs w:val="24"/>
          <w:lang w:eastAsia="en-GB"/>
        </w:rPr>
        <w:t>Shropshire Council</w:t>
      </w:r>
      <w:r w:rsidR="00405D3F">
        <w:rPr>
          <w:rFonts w:asciiTheme="minorHAnsi" w:hAnsiTheme="minorHAnsi" w:cstheme="minorHAnsi"/>
          <w:szCs w:val="24"/>
          <w:lang w:eastAsia="en-GB"/>
        </w:rPr>
        <w:t>, in order to lead by example,</w:t>
      </w:r>
      <w:r w:rsidRPr="00A12A2B">
        <w:rPr>
          <w:rFonts w:asciiTheme="minorHAnsi" w:hAnsiTheme="minorHAnsi" w:cstheme="minorHAnsi"/>
          <w:szCs w:val="24"/>
          <w:lang w:eastAsia="en-GB"/>
        </w:rPr>
        <w:t xml:space="preserve"> was also </w:t>
      </w:r>
      <w:r w:rsidRPr="00A12A2B">
        <w:rPr>
          <w:rFonts w:ascii="Calibri" w:hAnsi="Calibri" w:cs="Calibri"/>
          <w:color w:val="201F1E"/>
          <w:szCs w:val="24"/>
          <w:shd w:val="clear" w:color="auto" w:fill="FFFFFF"/>
        </w:rPr>
        <w:t xml:space="preserve">one of the founders of the Shropshire Climate Action Partnership </w:t>
      </w:r>
      <w:r w:rsidR="00A12A2B">
        <w:rPr>
          <w:rFonts w:ascii="Calibri" w:hAnsi="Calibri" w:cs="Calibri"/>
          <w:color w:val="201F1E"/>
          <w:szCs w:val="24"/>
          <w:shd w:val="clear" w:color="auto" w:fill="FFFFFF"/>
        </w:rPr>
        <w:t xml:space="preserve">(SCAP) </w:t>
      </w:r>
      <w:r w:rsidRPr="00A12A2B">
        <w:rPr>
          <w:rFonts w:ascii="Calibri" w:hAnsi="Calibri" w:cs="Calibri"/>
          <w:color w:val="201F1E"/>
          <w:szCs w:val="24"/>
          <w:shd w:val="clear" w:color="auto" w:fill="FFFFFF"/>
        </w:rPr>
        <w:t xml:space="preserve">and </w:t>
      </w:r>
      <w:r w:rsidR="00A12A2B" w:rsidRPr="00A12A2B">
        <w:rPr>
          <w:rFonts w:ascii="Calibri" w:hAnsi="Calibri" w:cs="Calibri"/>
          <w:color w:val="201F1E"/>
          <w:szCs w:val="24"/>
          <w:shd w:val="clear" w:color="auto" w:fill="FFFFFF"/>
        </w:rPr>
        <w:t>has</w:t>
      </w:r>
      <w:r w:rsidRPr="00A12A2B">
        <w:rPr>
          <w:rFonts w:ascii="Calibri" w:hAnsi="Calibri" w:cs="Calibri"/>
          <w:color w:val="201F1E"/>
          <w:szCs w:val="24"/>
          <w:shd w:val="clear" w:color="auto" w:fill="FFFFFF"/>
        </w:rPr>
        <w:t xml:space="preserve"> strongly supported </w:t>
      </w:r>
      <w:r w:rsidR="00A12A2B">
        <w:rPr>
          <w:rFonts w:ascii="Calibri" w:hAnsi="Calibri" w:cs="Calibri"/>
          <w:color w:val="201F1E"/>
          <w:szCs w:val="24"/>
          <w:shd w:val="clear" w:color="auto" w:fill="FFFFFF"/>
        </w:rPr>
        <w:t>SCAP’s</w:t>
      </w:r>
      <w:r w:rsidR="00A12A2B" w:rsidRPr="00A12A2B">
        <w:rPr>
          <w:rFonts w:ascii="Calibri" w:hAnsi="Calibri" w:cs="Calibri"/>
          <w:color w:val="201F1E"/>
          <w:szCs w:val="24"/>
          <w:shd w:val="clear" w:color="auto" w:fill="FFFFFF"/>
        </w:rPr>
        <w:t xml:space="preserve"> </w:t>
      </w:r>
      <w:r w:rsidRPr="00A12A2B">
        <w:rPr>
          <w:rFonts w:ascii="Calibri" w:hAnsi="Calibri" w:cs="Calibri"/>
          <w:color w:val="201F1E"/>
          <w:szCs w:val="24"/>
          <w:shd w:val="clear" w:color="auto" w:fill="FFFFFF"/>
        </w:rPr>
        <w:t xml:space="preserve">collective work to develop </w:t>
      </w:r>
      <w:r w:rsidR="00A12A2B" w:rsidRPr="00A12A2B">
        <w:rPr>
          <w:rFonts w:ascii="Calibri" w:hAnsi="Calibri" w:cs="Calibri"/>
          <w:color w:val="201F1E"/>
          <w:szCs w:val="24"/>
          <w:shd w:val="clear" w:color="auto" w:fill="FFFFFF"/>
        </w:rPr>
        <w:t>its</w:t>
      </w:r>
      <w:r w:rsidRPr="00A12A2B">
        <w:rPr>
          <w:rFonts w:ascii="Calibri" w:hAnsi="Calibri" w:cs="Calibri"/>
          <w:color w:val="201F1E"/>
          <w:szCs w:val="24"/>
          <w:shd w:val="clear" w:color="auto" w:fill="FFFFFF"/>
        </w:rPr>
        <w:t xml:space="preserve"> Z</w:t>
      </w:r>
      <w:r w:rsidR="00A12A2B" w:rsidRPr="00A12A2B">
        <w:rPr>
          <w:rFonts w:ascii="Calibri" w:hAnsi="Calibri" w:cs="Calibri"/>
          <w:color w:val="201F1E"/>
          <w:szCs w:val="24"/>
          <w:shd w:val="clear" w:color="auto" w:fill="FFFFFF"/>
        </w:rPr>
        <w:t xml:space="preserve">ero </w:t>
      </w:r>
      <w:r w:rsidRPr="00A12A2B">
        <w:rPr>
          <w:rFonts w:ascii="Calibri" w:hAnsi="Calibri" w:cs="Calibri"/>
          <w:color w:val="201F1E"/>
          <w:szCs w:val="24"/>
          <w:shd w:val="clear" w:color="auto" w:fill="FFFFFF"/>
        </w:rPr>
        <w:t>C</w:t>
      </w:r>
      <w:r w:rsidR="00A12A2B" w:rsidRPr="00A12A2B">
        <w:rPr>
          <w:rFonts w:ascii="Calibri" w:hAnsi="Calibri" w:cs="Calibri"/>
          <w:color w:val="201F1E"/>
          <w:szCs w:val="24"/>
          <w:shd w:val="clear" w:color="auto" w:fill="FFFFFF"/>
        </w:rPr>
        <w:t xml:space="preserve">arbon </w:t>
      </w:r>
      <w:r w:rsidRPr="00A12A2B">
        <w:rPr>
          <w:rFonts w:ascii="Calibri" w:hAnsi="Calibri" w:cs="Calibri"/>
          <w:color w:val="201F1E"/>
          <w:szCs w:val="24"/>
          <w:shd w:val="clear" w:color="auto" w:fill="FFFFFF"/>
        </w:rPr>
        <w:t>S</w:t>
      </w:r>
      <w:r w:rsidR="00A12A2B" w:rsidRPr="00A12A2B">
        <w:rPr>
          <w:rFonts w:ascii="Calibri" w:hAnsi="Calibri" w:cs="Calibri"/>
          <w:color w:val="201F1E"/>
          <w:szCs w:val="24"/>
          <w:shd w:val="clear" w:color="auto" w:fill="FFFFFF"/>
        </w:rPr>
        <w:t xml:space="preserve">hropshire </w:t>
      </w:r>
      <w:r w:rsidR="00A12A2B">
        <w:rPr>
          <w:rFonts w:ascii="Calibri" w:hAnsi="Calibri" w:cs="Calibri"/>
          <w:color w:val="201F1E"/>
          <w:szCs w:val="24"/>
          <w:shd w:val="clear" w:color="auto" w:fill="FFFFFF"/>
        </w:rPr>
        <w:t xml:space="preserve">(ZCS) </w:t>
      </w:r>
      <w:r w:rsidR="00A12A2B" w:rsidRPr="00A12A2B">
        <w:rPr>
          <w:rFonts w:ascii="Calibri" w:hAnsi="Calibri" w:cs="Calibri"/>
          <w:color w:val="201F1E"/>
          <w:szCs w:val="24"/>
          <w:shd w:val="clear" w:color="auto" w:fill="FFFFFF"/>
        </w:rPr>
        <w:t>Plan</w:t>
      </w:r>
      <w:r w:rsidR="00A12A2B">
        <w:rPr>
          <w:rStyle w:val="FootnoteReference"/>
          <w:rFonts w:ascii="Calibri" w:hAnsi="Calibri" w:cs="Calibri"/>
          <w:color w:val="201F1E"/>
          <w:szCs w:val="24"/>
          <w:shd w:val="clear" w:color="auto" w:fill="FFFFFF"/>
        </w:rPr>
        <w:footnoteReference w:id="7"/>
      </w:r>
      <w:r w:rsidR="00A12A2B">
        <w:rPr>
          <w:rFonts w:ascii="Calibri" w:hAnsi="Calibri" w:cs="Calibri"/>
          <w:color w:val="201F1E"/>
          <w:szCs w:val="24"/>
          <w:shd w:val="clear" w:color="auto" w:fill="FFFFFF"/>
        </w:rPr>
        <w:t xml:space="preserve"> in</w:t>
      </w:r>
      <w:r w:rsidRPr="00A12A2B">
        <w:rPr>
          <w:rFonts w:ascii="Calibri" w:hAnsi="Calibri" w:cs="Calibri"/>
          <w:color w:val="201F1E"/>
          <w:szCs w:val="24"/>
          <w:shd w:val="clear" w:color="auto" w:fill="FFFFFF"/>
        </w:rPr>
        <w:t xml:space="preserve"> a very fast-moving area of work</w:t>
      </w:r>
      <w:r w:rsidR="00A12A2B">
        <w:rPr>
          <w:rFonts w:ascii="Calibri" w:hAnsi="Calibri" w:cs="Calibri"/>
          <w:color w:val="201F1E"/>
          <w:szCs w:val="24"/>
          <w:shd w:val="clear" w:color="auto" w:fill="FFFFFF"/>
        </w:rPr>
        <w:t>.</w:t>
      </w:r>
      <w:r w:rsidR="00BA2EEC">
        <w:rPr>
          <w:rFonts w:ascii="Calibri" w:hAnsi="Calibri" w:cs="Calibri"/>
          <w:color w:val="201F1E"/>
          <w:szCs w:val="24"/>
          <w:shd w:val="clear" w:color="auto" w:fill="FFFFFF"/>
        </w:rPr>
        <w:t xml:space="preserve">  </w:t>
      </w:r>
      <w:r w:rsidR="00BA2EEC" w:rsidRPr="00493BF3">
        <w:rPr>
          <w:rFonts w:ascii="Calibri" w:hAnsi="Calibri" w:cs="Calibri"/>
          <w:color w:val="201F1E"/>
          <w:szCs w:val="24"/>
          <w:shd w:val="clear" w:color="auto" w:fill="FFFFFF"/>
        </w:rPr>
        <w:t>Dean Carroll, the portfolio holder for Climate Change, made the following statement when the ZCS plan was launched</w:t>
      </w:r>
      <w:r w:rsidR="00BA2EEC">
        <w:rPr>
          <w:rStyle w:val="FootnoteReference"/>
          <w:rFonts w:ascii="Calibri" w:hAnsi="Calibri" w:cs="Calibri"/>
          <w:color w:val="000000"/>
          <w:sz w:val="22"/>
          <w:bdr w:val="none" w:sz="0" w:space="0" w:color="auto" w:frame="1"/>
          <w:lang w:eastAsia="en-GB"/>
        </w:rPr>
        <w:footnoteReference w:id="8"/>
      </w:r>
      <w:r w:rsidR="00BA2EEC" w:rsidRPr="003755D4">
        <w:rPr>
          <w:rFonts w:ascii="Calibri" w:hAnsi="Calibri" w:cs="Calibri"/>
          <w:color w:val="000000"/>
          <w:sz w:val="22"/>
          <w:bdr w:val="none" w:sz="0" w:space="0" w:color="auto" w:frame="1"/>
          <w:lang w:eastAsia="en-GB"/>
        </w:rPr>
        <w:t>:</w:t>
      </w:r>
    </w:p>
    <w:p w:rsidR="008C3C4A" w:rsidRPr="00BA2EEC" w:rsidRDefault="00BA2EEC" w:rsidP="00BA2EEC">
      <w:pPr>
        <w:shd w:val="clear" w:color="auto" w:fill="FFFFFF"/>
        <w:ind w:left="425"/>
        <w:rPr>
          <w:rFonts w:ascii="Calibri" w:eastAsiaTheme="minorHAnsi" w:hAnsi="Calibri" w:cs="Calibri"/>
          <w:i/>
          <w:color w:val="201F1E"/>
          <w:shd w:val="clear" w:color="auto" w:fill="FFFFFF"/>
        </w:rPr>
      </w:pPr>
      <w:r w:rsidRPr="00BA2EEC">
        <w:rPr>
          <w:rFonts w:ascii="Calibri" w:eastAsiaTheme="minorHAnsi" w:hAnsi="Calibri" w:cs="Calibri"/>
          <w:i/>
          <w:color w:val="201F1E"/>
          <w:shd w:val="clear" w:color="auto" w:fill="FFFFFF"/>
        </w:rPr>
        <w:t>“This brilliantly ambitious strategy is welcomed by Shropshire Council. It is an excellent example of what can be achieved when we all work together to achieve a common goal and will complement the council’s own corporate climate change strategy and action plan.”</w:t>
      </w:r>
    </w:p>
    <w:p w:rsidR="00A12A2B" w:rsidRDefault="00A12A2B" w:rsidP="008C3C4A">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The bulk of the effort to seek to achieve climate change goals therefore appears to be in the hands of SCAP and its ZCS Plan.  SCAP is largely an organisation of volunteers, with no statutory powers.</w:t>
      </w:r>
    </w:p>
    <w:p w:rsidR="00A12A2B" w:rsidRPr="002565F0" w:rsidRDefault="00F76988" w:rsidP="008C3C4A">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sidRPr="002565F0">
        <w:rPr>
          <w:rFonts w:asciiTheme="minorHAnsi" w:hAnsiTheme="minorHAnsi" w:cstheme="minorHAnsi"/>
          <w:szCs w:val="24"/>
          <w:lang w:eastAsia="en-GB"/>
        </w:rPr>
        <w:t>Page 15 of t</w:t>
      </w:r>
      <w:r w:rsidR="00A12A2B" w:rsidRPr="002565F0">
        <w:rPr>
          <w:rFonts w:asciiTheme="minorHAnsi" w:hAnsiTheme="minorHAnsi" w:cstheme="minorHAnsi"/>
          <w:szCs w:val="24"/>
          <w:lang w:eastAsia="en-GB"/>
        </w:rPr>
        <w:t xml:space="preserve">he current ZCS Plan records </w:t>
      </w:r>
      <w:r w:rsidR="002565F0" w:rsidRPr="002565F0">
        <w:rPr>
          <w:rFonts w:asciiTheme="minorHAnsi" w:hAnsiTheme="minorHAnsi" w:cstheme="minorHAnsi"/>
          <w:szCs w:val="24"/>
          <w:lang w:eastAsia="en-GB"/>
        </w:rPr>
        <w:t xml:space="preserve">the </w:t>
      </w:r>
      <w:r w:rsidR="002565F0" w:rsidRPr="002565F0">
        <w:rPr>
          <w:rFonts w:asciiTheme="minorHAnsi" w:hAnsiTheme="minorHAnsi" w:cstheme="minorHAnsi"/>
        </w:rPr>
        <w:t xml:space="preserve">indicative breakdown </w:t>
      </w:r>
      <w:r w:rsidR="002565F0" w:rsidRPr="002565F0">
        <w:rPr>
          <w:rFonts w:asciiTheme="minorHAnsi" w:hAnsiTheme="minorHAnsi" w:cstheme="minorHAnsi"/>
          <w:szCs w:val="24"/>
          <w:lang w:eastAsia="en-GB"/>
        </w:rPr>
        <w:t xml:space="preserve">of </w:t>
      </w:r>
      <w:r w:rsidR="00A12A2B" w:rsidRPr="002565F0">
        <w:rPr>
          <w:rFonts w:asciiTheme="minorHAnsi" w:hAnsiTheme="minorHAnsi" w:cstheme="minorHAnsi"/>
          <w:szCs w:val="24"/>
          <w:lang w:eastAsia="en-GB"/>
        </w:rPr>
        <w:t>Shropshire’s overall carbon footprint</w:t>
      </w:r>
      <w:r w:rsidR="002565F0" w:rsidRPr="002565F0">
        <w:rPr>
          <w:rFonts w:asciiTheme="minorHAnsi" w:hAnsiTheme="minorHAnsi" w:cstheme="minorHAnsi"/>
          <w:szCs w:val="24"/>
          <w:lang w:eastAsia="en-GB"/>
        </w:rPr>
        <w:t xml:space="preserve">, which </w:t>
      </w:r>
      <w:r w:rsidR="002565F0" w:rsidRPr="002565F0">
        <w:rPr>
          <w:rFonts w:asciiTheme="minorHAnsi" w:hAnsiTheme="minorHAnsi" w:cstheme="minorHAnsi"/>
        </w:rPr>
        <w:t>is estimated at 6.1MtCO</w:t>
      </w:r>
      <w:r w:rsidR="002565F0" w:rsidRPr="002565F0">
        <w:rPr>
          <w:rFonts w:asciiTheme="minorHAnsi" w:hAnsiTheme="minorHAnsi" w:cstheme="minorHAnsi"/>
          <w:vertAlign w:val="subscript"/>
        </w:rPr>
        <w:t>2</w:t>
      </w:r>
      <w:r w:rsidR="002565F0" w:rsidRPr="002565F0">
        <w:rPr>
          <w:rFonts w:asciiTheme="minorHAnsi" w:hAnsiTheme="minorHAnsi" w:cstheme="minorHAnsi"/>
        </w:rPr>
        <w:t>e/year</w:t>
      </w:r>
      <w:r w:rsidR="002565F0">
        <w:rPr>
          <w:rFonts w:asciiTheme="minorHAnsi" w:hAnsiTheme="minorHAnsi" w:cstheme="minorHAnsi"/>
        </w:rPr>
        <w:t>,</w:t>
      </w:r>
      <w:r w:rsidR="002565F0" w:rsidRPr="002565F0">
        <w:rPr>
          <w:rFonts w:asciiTheme="minorHAnsi" w:hAnsiTheme="minorHAnsi" w:cstheme="minorHAnsi"/>
          <w:szCs w:val="24"/>
          <w:lang w:eastAsia="en-GB"/>
        </w:rPr>
        <w:t xml:space="preserve"> </w:t>
      </w:r>
      <w:r w:rsidR="00A12A2B" w:rsidRPr="002565F0">
        <w:rPr>
          <w:rFonts w:asciiTheme="minorHAnsi" w:hAnsiTheme="minorHAnsi" w:cstheme="minorHAnsi"/>
          <w:szCs w:val="24"/>
          <w:lang w:eastAsia="en-GB"/>
        </w:rPr>
        <w:t>as follows:</w:t>
      </w:r>
    </w:p>
    <w:p w:rsidR="00A12A2B" w:rsidRDefault="00F76988" w:rsidP="002565F0">
      <w:pPr>
        <w:pStyle w:val="ListParagraph"/>
        <w:spacing w:after="60"/>
        <w:contextualSpacing w:val="0"/>
        <w:jc w:val="center"/>
        <w:textAlignment w:val="baseline"/>
        <w:rPr>
          <w:rFonts w:asciiTheme="minorHAnsi" w:hAnsiTheme="minorHAnsi" w:cstheme="minorHAnsi"/>
          <w:szCs w:val="24"/>
          <w:lang w:eastAsia="en-GB"/>
        </w:rPr>
      </w:pPr>
      <w:r>
        <w:rPr>
          <w:noProof/>
          <w:lang w:eastAsia="en-GB"/>
        </w:rPr>
        <w:lastRenderedPageBreak/>
        <w:drawing>
          <wp:inline distT="0" distB="0" distL="0" distR="0" wp14:anchorId="141CCC7F" wp14:editId="7CDBCF32">
            <wp:extent cx="4752479" cy="4409824"/>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5306" t="12123" r="26356" b="8136"/>
                    <a:stretch/>
                  </pic:blipFill>
                  <pic:spPr bwMode="auto">
                    <a:xfrm>
                      <a:off x="0" y="0"/>
                      <a:ext cx="4794843" cy="444913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D916E1" w:rsidRDefault="00D916E1" w:rsidP="002565F0">
      <w:pPr>
        <w:pStyle w:val="ListParagraph"/>
        <w:spacing w:after="60"/>
        <w:contextualSpacing w:val="0"/>
        <w:jc w:val="center"/>
        <w:textAlignment w:val="baseline"/>
        <w:rPr>
          <w:rFonts w:asciiTheme="minorHAnsi" w:hAnsiTheme="minorHAnsi" w:cstheme="minorHAnsi"/>
          <w:szCs w:val="24"/>
          <w:lang w:eastAsia="en-GB"/>
        </w:rPr>
      </w:pPr>
    </w:p>
    <w:p w:rsidR="00F57F7A" w:rsidRDefault="00F57F7A" w:rsidP="00D916E1">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Roughly</w:t>
      </w:r>
      <w:r w:rsidRPr="00F57F7A">
        <w:rPr>
          <w:rFonts w:asciiTheme="minorHAnsi" w:hAnsiTheme="minorHAnsi" w:cstheme="minorHAnsi"/>
          <w:lang w:eastAsia="en-GB"/>
        </w:rPr>
        <w:t xml:space="preserve"> 45% of emissions </w:t>
      </w:r>
      <w:r>
        <w:rPr>
          <w:rFonts w:asciiTheme="minorHAnsi" w:hAnsiTheme="minorHAnsi" w:cstheme="minorHAnsi"/>
          <w:lang w:eastAsia="en-GB"/>
        </w:rPr>
        <w:t xml:space="preserve">(27 minutes past the hour on the above ‘clock’) </w:t>
      </w:r>
      <w:r w:rsidRPr="00F57F7A">
        <w:rPr>
          <w:rFonts w:asciiTheme="minorHAnsi" w:hAnsiTheme="minorHAnsi" w:cstheme="minorHAnsi"/>
          <w:lang w:eastAsia="en-GB"/>
        </w:rPr>
        <w:t>come</w:t>
      </w:r>
      <w:r>
        <w:rPr>
          <w:rFonts w:asciiTheme="minorHAnsi" w:hAnsiTheme="minorHAnsi" w:cstheme="minorHAnsi"/>
          <w:lang w:eastAsia="en-GB"/>
        </w:rPr>
        <w:t>s</w:t>
      </w:r>
      <w:r w:rsidRPr="00F57F7A">
        <w:rPr>
          <w:rFonts w:asciiTheme="minorHAnsi" w:hAnsiTheme="minorHAnsi" w:cstheme="minorHAnsi"/>
          <w:lang w:eastAsia="en-GB"/>
        </w:rPr>
        <w:t xml:space="preserve"> from people’s everyday activities of being </w:t>
      </w:r>
      <w:r>
        <w:rPr>
          <w:rFonts w:asciiTheme="minorHAnsi" w:hAnsiTheme="minorHAnsi" w:cstheme="minorHAnsi"/>
          <w:lang w:eastAsia="en-GB"/>
        </w:rPr>
        <w:t>at</w:t>
      </w:r>
      <w:r w:rsidRPr="00F57F7A">
        <w:rPr>
          <w:rFonts w:asciiTheme="minorHAnsi" w:hAnsiTheme="minorHAnsi" w:cstheme="minorHAnsi"/>
          <w:lang w:eastAsia="en-GB"/>
        </w:rPr>
        <w:t xml:space="preserve"> their homes and </w:t>
      </w:r>
      <w:r>
        <w:rPr>
          <w:rFonts w:asciiTheme="minorHAnsi" w:hAnsiTheme="minorHAnsi" w:cstheme="minorHAnsi"/>
          <w:lang w:eastAsia="en-GB"/>
        </w:rPr>
        <w:t xml:space="preserve">work, and </w:t>
      </w:r>
      <w:r w:rsidRPr="00F57F7A">
        <w:rPr>
          <w:rFonts w:asciiTheme="minorHAnsi" w:hAnsiTheme="minorHAnsi" w:cstheme="minorHAnsi"/>
          <w:lang w:eastAsia="en-GB"/>
        </w:rPr>
        <w:t>travelling around.</w:t>
      </w:r>
      <w:r>
        <w:rPr>
          <w:rFonts w:asciiTheme="minorHAnsi" w:hAnsiTheme="minorHAnsi" w:cstheme="minorHAnsi"/>
          <w:lang w:eastAsia="en-GB"/>
        </w:rPr>
        <w:t xml:space="preserve"> A further 46% comes from Scope 3 emissions.</w:t>
      </w:r>
    </w:p>
    <w:p w:rsidR="00184B2A" w:rsidRDefault="00184B2A" w:rsidP="00D916E1">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This means that buildings, their occupiers, and the activities they engage in continue to be the greatest source of GHG emissions.  Every effort should therefore be made to minimise the increase in </w:t>
      </w:r>
      <w:r w:rsidR="00A45FEF">
        <w:rPr>
          <w:rFonts w:asciiTheme="minorHAnsi" w:hAnsiTheme="minorHAnsi" w:cstheme="minorHAnsi"/>
          <w:lang w:eastAsia="en-GB"/>
        </w:rPr>
        <w:t xml:space="preserve">the numbers of those </w:t>
      </w:r>
      <w:r>
        <w:rPr>
          <w:rFonts w:asciiTheme="minorHAnsi" w:hAnsiTheme="minorHAnsi" w:cstheme="minorHAnsi"/>
          <w:lang w:eastAsia="en-GB"/>
        </w:rPr>
        <w:t xml:space="preserve">buildings, </w:t>
      </w:r>
      <w:r w:rsidR="00405D3F">
        <w:rPr>
          <w:rFonts w:asciiTheme="minorHAnsi" w:hAnsiTheme="minorHAnsi" w:cstheme="minorHAnsi"/>
          <w:lang w:eastAsia="en-GB"/>
        </w:rPr>
        <w:t xml:space="preserve">for </w:t>
      </w:r>
      <w:r>
        <w:rPr>
          <w:rFonts w:asciiTheme="minorHAnsi" w:hAnsiTheme="minorHAnsi" w:cstheme="minorHAnsi"/>
          <w:lang w:eastAsia="en-GB"/>
        </w:rPr>
        <w:t>as long as those buildings themselves are not carbon neutral or carbon negative.</w:t>
      </w:r>
    </w:p>
    <w:p w:rsidR="00191BDB" w:rsidRPr="00F57F7A" w:rsidRDefault="00191BDB" w:rsidP="00D916E1">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We now set out the detail of why we consider policy SP2 to be unsound in this regard, and not supported by proportionate evidence.</w:t>
      </w:r>
    </w:p>
    <w:p w:rsidR="00885951" w:rsidRPr="004959BA" w:rsidRDefault="00885951" w:rsidP="003618D6">
      <w:pPr>
        <w:pStyle w:val="Heading3"/>
        <w:spacing w:before="240" w:after="120"/>
        <w:rPr>
          <w:rFonts w:asciiTheme="minorHAnsi" w:eastAsiaTheme="minorHAnsi" w:hAnsiTheme="minorHAnsi" w:cstheme="minorHAnsi"/>
          <w:b/>
          <w:i/>
          <w:color w:val="0070C0"/>
          <w:lang w:eastAsia="en-GB"/>
        </w:rPr>
      </w:pPr>
      <w:bookmarkStart w:id="13" w:name="_Toc65242900"/>
      <w:r w:rsidRPr="004959BA">
        <w:rPr>
          <w:rFonts w:asciiTheme="minorHAnsi" w:eastAsiaTheme="minorHAnsi" w:hAnsiTheme="minorHAnsi" w:cstheme="minorHAnsi"/>
          <w:b/>
          <w:i/>
          <w:color w:val="0070C0"/>
          <w:lang w:eastAsia="en-GB"/>
        </w:rPr>
        <w:t>The housing numbers</w:t>
      </w:r>
      <w:bookmarkEnd w:id="13"/>
    </w:p>
    <w:p w:rsidR="004528F5" w:rsidRPr="004528F5" w:rsidRDefault="0071171F" w:rsidP="001E0287">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housing target of 30,800 is significantly more than the minimum </w:t>
      </w:r>
      <w:r w:rsidR="002565F0">
        <w:rPr>
          <w:rFonts w:asciiTheme="minorHAnsi" w:hAnsiTheme="minorHAnsi" w:cstheme="minorHAnsi"/>
          <w:lang w:eastAsia="en-GB"/>
        </w:rPr>
        <w:t xml:space="preserve">Objectively Assessed Need figure </w:t>
      </w:r>
      <w:r>
        <w:rPr>
          <w:rFonts w:asciiTheme="minorHAnsi" w:hAnsiTheme="minorHAnsi" w:cstheme="minorHAnsi"/>
          <w:lang w:eastAsia="en-GB"/>
        </w:rPr>
        <w:t>of 25,894 required by Government</w:t>
      </w:r>
      <w:r w:rsidR="002565F0">
        <w:rPr>
          <w:rFonts w:asciiTheme="minorHAnsi" w:hAnsiTheme="minorHAnsi" w:cstheme="minorHAnsi"/>
          <w:lang w:eastAsia="en-GB"/>
        </w:rPr>
        <w:t>, as calculated within the FOAHN</w:t>
      </w:r>
      <w:r>
        <w:rPr>
          <w:rFonts w:asciiTheme="minorHAnsi" w:hAnsiTheme="minorHAnsi" w:cstheme="minorHAnsi"/>
          <w:lang w:eastAsia="en-GB"/>
        </w:rPr>
        <w:t xml:space="preserve">, </w:t>
      </w:r>
      <w:r w:rsidR="002565F0">
        <w:rPr>
          <w:rFonts w:asciiTheme="minorHAnsi" w:hAnsiTheme="minorHAnsi" w:cstheme="minorHAnsi"/>
          <w:lang w:eastAsia="en-GB"/>
        </w:rPr>
        <w:t xml:space="preserve">and which was confirmed by MHCLG on </w:t>
      </w:r>
      <w:r w:rsidR="004528F5">
        <w:rPr>
          <w:rFonts w:asciiTheme="minorHAnsi" w:hAnsiTheme="minorHAnsi" w:cstheme="minorHAnsi"/>
          <w:lang w:eastAsia="en-GB"/>
        </w:rPr>
        <w:t xml:space="preserve">16 December 2020 as the Standard Method </w:t>
      </w:r>
      <w:r w:rsidR="001E0287">
        <w:rPr>
          <w:rFonts w:asciiTheme="minorHAnsi" w:hAnsiTheme="minorHAnsi" w:cstheme="minorHAnsi"/>
          <w:lang w:eastAsia="en-GB"/>
        </w:rPr>
        <w:t xml:space="preserve">that should continue </w:t>
      </w:r>
      <w:r w:rsidR="004528F5">
        <w:rPr>
          <w:rFonts w:asciiTheme="minorHAnsi" w:hAnsiTheme="minorHAnsi" w:cstheme="minorHAnsi"/>
          <w:lang w:eastAsia="en-GB"/>
        </w:rPr>
        <w:t>to be applied.  We think it is important to recognise the several distinct elements making up these figures, as identified below.</w:t>
      </w:r>
    </w:p>
    <w:p w:rsidR="004528F5" w:rsidRDefault="008E295B" w:rsidP="001E0287">
      <w:pPr>
        <w:spacing w:line="300" w:lineRule="auto"/>
        <w:jc w:val="both"/>
        <w:textAlignment w:val="baseline"/>
        <w:rPr>
          <w:rFonts w:asciiTheme="minorHAnsi" w:hAnsiTheme="minorHAnsi" w:cstheme="minorHAnsi"/>
          <w:lang w:eastAsia="en-GB"/>
        </w:rPr>
      </w:pPr>
      <w:r>
        <w:rPr>
          <w:noProof/>
          <w:lang w:eastAsia="en-GB"/>
        </w:rPr>
        <w:lastRenderedPageBreak/>
        <w:drawing>
          <wp:inline distT="0" distB="0" distL="0" distR="0" wp14:anchorId="339567E4" wp14:editId="05BF6422">
            <wp:extent cx="5953125" cy="3182695"/>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28" t="23636" r="38179" b="19342"/>
                    <a:stretch/>
                  </pic:blipFill>
                  <pic:spPr bwMode="auto">
                    <a:xfrm>
                      <a:off x="0" y="0"/>
                      <a:ext cx="6037513" cy="3227811"/>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rsidR="001E0287" w:rsidRDefault="001E0287" w:rsidP="00C325D9">
      <w:pPr>
        <w:pStyle w:val="ListParagraph"/>
        <w:numPr>
          <w:ilvl w:val="1"/>
          <w:numId w:val="1"/>
        </w:numPr>
        <w:spacing w:before="120" w:after="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This can also be represented graphically as follows:</w:t>
      </w:r>
    </w:p>
    <w:p w:rsidR="001E0287" w:rsidRDefault="00D2005B" w:rsidP="001E0287">
      <w:pPr>
        <w:pStyle w:val="ListParagraph"/>
        <w:spacing w:after="60"/>
        <w:contextualSpacing w:val="0"/>
        <w:textAlignment w:val="baseline"/>
        <w:rPr>
          <w:rFonts w:asciiTheme="minorHAnsi" w:hAnsiTheme="minorHAnsi" w:cstheme="minorHAnsi"/>
          <w:lang w:eastAsia="en-GB"/>
        </w:rPr>
      </w:pPr>
      <w:r>
        <w:rPr>
          <w:noProof/>
          <w:lang w:eastAsia="en-GB"/>
        </w:rPr>
        <w:drawing>
          <wp:inline distT="0" distB="0" distL="0" distR="0" wp14:anchorId="047EB52E" wp14:editId="33674289">
            <wp:extent cx="4332262" cy="3705225"/>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971" t="29634" r="48480" b="17834"/>
                    <a:stretch/>
                  </pic:blipFill>
                  <pic:spPr bwMode="auto">
                    <a:xfrm>
                      <a:off x="0" y="0"/>
                      <a:ext cx="4390276" cy="375484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C325D9" w:rsidRDefault="00C325D9" w:rsidP="00C325D9">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above table and chart show that:</w:t>
      </w:r>
    </w:p>
    <w:p w:rsidR="00C325D9" w:rsidRDefault="00D2005B" w:rsidP="002427CD">
      <w:pPr>
        <w:pStyle w:val="ListParagraph"/>
        <w:numPr>
          <w:ilvl w:val="0"/>
          <w:numId w:val="12"/>
        </w:numPr>
        <w:spacing w:before="120" w:line="300" w:lineRule="auto"/>
        <w:ind w:left="567"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projected increase in population </w:t>
      </w:r>
      <w:r w:rsidR="00707D3B">
        <w:rPr>
          <w:rFonts w:asciiTheme="minorHAnsi" w:hAnsiTheme="minorHAnsi" w:cstheme="minorHAnsi"/>
          <w:lang w:eastAsia="en-GB"/>
        </w:rPr>
        <w:t xml:space="preserve">(28,380) </w:t>
      </w:r>
      <w:r>
        <w:rPr>
          <w:rFonts w:asciiTheme="minorHAnsi" w:hAnsiTheme="minorHAnsi" w:cstheme="minorHAnsi"/>
          <w:lang w:eastAsia="en-GB"/>
        </w:rPr>
        <w:t xml:space="preserve">produces a need for only </w:t>
      </w:r>
      <w:r w:rsidR="00F35861">
        <w:rPr>
          <w:rFonts w:asciiTheme="minorHAnsi" w:hAnsiTheme="minorHAnsi" w:cstheme="minorHAnsi"/>
          <w:lang w:eastAsia="en-GB"/>
        </w:rPr>
        <w:t>12,490 dwellings over</w:t>
      </w:r>
      <w:r>
        <w:rPr>
          <w:rFonts w:asciiTheme="minorHAnsi" w:hAnsiTheme="minorHAnsi" w:cstheme="minorHAnsi"/>
          <w:lang w:eastAsia="en-GB"/>
        </w:rPr>
        <w:t xml:space="preserve"> the plan period</w:t>
      </w:r>
      <w:r w:rsidR="00C325D9">
        <w:rPr>
          <w:rFonts w:asciiTheme="minorHAnsi" w:hAnsiTheme="minorHAnsi" w:cstheme="minorHAnsi"/>
          <w:lang w:eastAsia="en-GB"/>
        </w:rPr>
        <w:t>.</w:t>
      </w:r>
    </w:p>
    <w:p w:rsidR="00C325D9" w:rsidRDefault="00D2005B" w:rsidP="002427CD">
      <w:pPr>
        <w:pStyle w:val="ListParagraph"/>
        <w:numPr>
          <w:ilvl w:val="0"/>
          <w:numId w:val="12"/>
        </w:numPr>
        <w:spacing w:before="120" w:line="300" w:lineRule="auto"/>
        <w:ind w:left="567" w:hanging="567"/>
        <w:contextualSpacing w:val="0"/>
        <w:textAlignment w:val="baseline"/>
        <w:rPr>
          <w:rFonts w:asciiTheme="minorHAnsi" w:hAnsiTheme="minorHAnsi" w:cstheme="minorHAnsi"/>
          <w:lang w:eastAsia="en-GB"/>
        </w:rPr>
      </w:pPr>
      <w:r w:rsidRPr="00C325D9">
        <w:rPr>
          <w:rFonts w:asciiTheme="minorHAnsi" w:hAnsiTheme="minorHAnsi" w:cstheme="minorHAnsi"/>
          <w:lang w:eastAsia="en-GB"/>
        </w:rPr>
        <w:t>Because of the projections about household formation and average household size, which is projected to fall by only 2.5% in the plan p</w:t>
      </w:r>
      <w:r w:rsidR="00707D3B" w:rsidRPr="00C325D9">
        <w:rPr>
          <w:rFonts w:asciiTheme="minorHAnsi" w:hAnsiTheme="minorHAnsi" w:cstheme="minorHAnsi"/>
          <w:lang w:eastAsia="en-GB"/>
        </w:rPr>
        <w:t>e</w:t>
      </w:r>
      <w:r w:rsidRPr="00C325D9">
        <w:rPr>
          <w:rFonts w:asciiTheme="minorHAnsi" w:hAnsiTheme="minorHAnsi" w:cstheme="minorHAnsi"/>
          <w:lang w:eastAsia="en-GB"/>
        </w:rPr>
        <w:t>riod, there is projected to be a need for another 8,256 dwellings.</w:t>
      </w:r>
      <w:r w:rsidR="00707D3B" w:rsidRPr="00C325D9">
        <w:rPr>
          <w:rFonts w:asciiTheme="minorHAnsi" w:hAnsiTheme="minorHAnsi" w:cstheme="minorHAnsi"/>
          <w:lang w:eastAsia="en-GB"/>
        </w:rPr>
        <w:t xml:space="preserve">  This is a surprisingly large figure, because the </w:t>
      </w:r>
      <w:r w:rsidR="00707D3B" w:rsidRPr="00C325D9">
        <w:rPr>
          <w:rFonts w:asciiTheme="minorHAnsi" w:hAnsiTheme="minorHAnsi" w:cstheme="minorHAnsi"/>
          <w:lang w:eastAsia="en-GB"/>
        </w:rPr>
        <w:lastRenderedPageBreak/>
        <w:t>projected reduction of 2.5% applies to the whole projected population at the end of the period (330,800), not just to the projected increase in population (28,380).</w:t>
      </w:r>
    </w:p>
    <w:p w:rsidR="00C325D9" w:rsidRDefault="00F35861" w:rsidP="002427CD">
      <w:pPr>
        <w:pStyle w:val="ListParagraph"/>
        <w:numPr>
          <w:ilvl w:val="0"/>
          <w:numId w:val="12"/>
        </w:numPr>
        <w:spacing w:before="120" w:line="300" w:lineRule="auto"/>
        <w:ind w:left="567" w:hanging="567"/>
        <w:contextualSpacing w:val="0"/>
        <w:textAlignment w:val="baseline"/>
        <w:rPr>
          <w:rFonts w:asciiTheme="minorHAnsi" w:hAnsiTheme="minorHAnsi" w:cstheme="minorHAnsi"/>
          <w:lang w:eastAsia="en-GB"/>
        </w:rPr>
      </w:pPr>
      <w:r w:rsidRPr="00C325D9">
        <w:rPr>
          <w:rFonts w:asciiTheme="minorHAnsi" w:hAnsiTheme="minorHAnsi" w:cstheme="minorHAnsi"/>
          <w:lang w:eastAsia="en-GB"/>
        </w:rPr>
        <w:t>Step 2 of the Government’s Standard Method then requires Shropshire Council to add a further 5,148 dwelling</w:t>
      </w:r>
      <w:r w:rsidR="003C6AB9" w:rsidRPr="00C325D9">
        <w:rPr>
          <w:rFonts w:asciiTheme="minorHAnsi" w:hAnsiTheme="minorHAnsi" w:cstheme="minorHAnsi"/>
          <w:lang w:eastAsia="en-GB"/>
        </w:rPr>
        <w:t>s</w:t>
      </w:r>
      <w:r w:rsidRPr="00C325D9">
        <w:rPr>
          <w:rFonts w:asciiTheme="minorHAnsi" w:hAnsiTheme="minorHAnsi" w:cstheme="minorHAnsi"/>
          <w:lang w:eastAsia="en-GB"/>
        </w:rPr>
        <w:t xml:space="preserve"> to the Objectively Assessed Need figures, for the affordability adjustment.</w:t>
      </w:r>
      <w:r w:rsidR="003C6AB9" w:rsidRPr="00C325D9">
        <w:rPr>
          <w:rFonts w:asciiTheme="minorHAnsi" w:hAnsiTheme="minorHAnsi" w:cstheme="minorHAnsi"/>
          <w:lang w:eastAsia="en-GB"/>
        </w:rPr>
        <w:t xml:space="preserve"> </w:t>
      </w:r>
      <w:r w:rsidR="00C325D9">
        <w:rPr>
          <w:rFonts w:asciiTheme="minorHAnsi" w:hAnsiTheme="minorHAnsi" w:cstheme="minorHAnsi"/>
          <w:lang w:eastAsia="en-GB"/>
        </w:rPr>
        <w:t xml:space="preserve"> </w:t>
      </w:r>
      <w:r w:rsidR="003C6AB9" w:rsidRPr="00C325D9">
        <w:rPr>
          <w:rFonts w:asciiTheme="minorHAnsi" w:hAnsiTheme="minorHAnsi" w:cstheme="minorHAnsi"/>
          <w:lang w:eastAsia="en-GB"/>
        </w:rPr>
        <w:t>Nationwide, this affordability adjustment is intended to help remedy the perceived historical shortfall of housing supply, by reference to how expensive houses are relative to incomes in each local authority area.  The corollary that this will bring house prices more within the reach of those who most need housing is widely considered to be misguided; the Letwin Review</w:t>
      </w:r>
      <w:r w:rsidR="003C6AB9">
        <w:rPr>
          <w:rStyle w:val="FootnoteReference"/>
          <w:rFonts w:asciiTheme="minorHAnsi" w:hAnsiTheme="minorHAnsi" w:cstheme="minorHAnsi"/>
          <w:lang w:eastAsia="en-GB"/>
        </w:rPr>
        <w:footnoteReference w:id="9"/>
      </w:r>
      <w:r w:rsidR="003C6AB9" w:rsidRPr="00C325D9">
        <w:rPr>
          <w:rFonts w:asciiTheme="minorHAnsi" w:hAnsiTheme="minorHAnsi" w:cstheme="minorHAnsi"/>
          <w:lang w:eastAsia="en-GB"/>
        </w:rPr>
        <w:t xml:space="preserve"> indicates that house builders will continue to “drip-feed” houses to the market because it is not in their interests to cause a reduction in the price of their product.</w:t>
      </w:r>
    </w:p>
    <w:p w:rsidR="003C6AB9" w:rsidRPr="00C325D9" w:rsidRDefault="003C6AB9" w:rsidP="002427CD">
      <w:pPr>
        <w:pStyle w:val="ListParagraph"/>
        <w:numPr>
          <w:ilvl w:val="0"/>
          <w:numId w:val="12"/>
        </w:numPr>
        <w:spacing w:before="120" w:line="300" w:lineRule="auto"/>
        <w:ind w:left="567" w:hanging="567"/>
        <w:contextualSpacing w:val="0"/>
        <w:textAlignment w:val="baseline"/>
        <w:rPr>
          <w:rFonts w:asciiTheme="minorHAnsi" w:hAnsiTheme="minorHAnsi" w:cstheme="minorHAnsi"/>
          <w:lang w:eastAsia="en-GB"/>
        </w:rPr>
      </w:pPr>
      <w:r w:rsidRPr="00C325D9">
        <w:rPr>
          <w:rFonts w:asciiTheme="minorHAnsi" w:hAnsiTheme="minorHAnsi" w:cstheme="minorHAnsi"/>
          <w:lang w:eastAsia="en-GB"/>
        </w:rPr>
        <w:t xml:space="preserve">On top of the Government’s Standard Method total of 25,894 for Shropshire, Shropshire Council is minded to </w:t>
      </w:r>
      <w:r w:rsidR="001D6C37" w:rsidRPr="00C325D9">
        <w:rPr>
          <w:rFonts w:asciiTheme="minorHAnsi" w:hAnsiTheme="minorHAnsi" w:cstheme="minorHAnsi"/>
          <w:lang w:eastAsia="en-GB"/>
        </w:rPr>
        <w:t>allow</w:t>
      </w:r>
      <w:r w:rsidRPr="00C325D9">
        <w:rPr>
          <w:rFonts w:asciiTheme="minorHAnsi" w:hAnsiTheme="minorHAnsi" w:cstheme="minorHAnsi"/>
          <w:lang w:eastAsia="en-GB"/>
        </w:rPr>
        <w:t xml:space="preserve"> </w:t>
      </w:r>
      <w:r w:rsidR="001D6C37" w:rsidRPr="00C325D9">
        <w:rPr>
          <w:rFonts w:asciiTheme="minorHAnsi" w:hAnsiTheme="minorHAnsi" w:cstheme="minorHAnsi"/>
          <w:lang w:eastAsia="en-GB"/>
        </w:rPr>
        <w:t xml:space="preserve">a further </w:t>
      </w:r>
      <w:r w:rsidRPr="00C325D9">
        <w:rPr>
          <w:rFonts w:asciiTheme="minorHAnsi" w:hAnsiTheme="minorHAnsi" w:cstheme="minorHAnsi"/>
          <w:lang w:eastAsia="en-GB"/>
        </w:rPr>
        <w:t xml:space="preserve">1,500 houses </w:t>
      </w:r>
      <w:r w:rsidR="001D6C37" w:rsidRPr="00C325D9">
        <w:rPr>
          <w:rFonts w:asciiTheme="minorHAnsi" w:hAnsiTheme="minorHAnsi" w:cstheme="minorHAnsi"/>
          <w:lang w:eastAsia="en-GB"/>
        </w:rPr>
        <w:t xml:space="preserve">to be built to satisfy </w:t>
      </w:r>
      <w:r w:rsidRPr="00C325D9">
        <w:rPr>
          <w:rFonts w:asciiTheme="minorHAnsi" w:hAnsiTheme="minorHAnsi" w:cstheme="minorHAnsi"/>
          <w:lang w:eastAsia="en-GB"/>
        </w:rPr>
        <w:t>the Black Country</w:t>
      </w:r>
      <w:r w:rsidR="001D6C37" w:rsidRPr="00C325D9">
        <w:rPr>
          <w:rFonts w:asciiTheme="minorHAnsi" w:hAnsiTheme="minorHAnsi" w:cstheme="minorHAnsi"/>
          <w:lang w:eastAsia="en-GB"/>
        </w:rPr>
        <w:t xml:space="preserve"> shortfall, and then to allow a further 3,406 houses on top of all that, </w:t>
      </w:r>
      <w:r w:rsidR="00191BDB">
        <w:rPr>
          <w:rFonts w:asciiTheme="minorHAnsi" w:hAnsiTheme="minorHAnsi" w:cstheme="minorHAnsi"/>
          <w:lang w:eastAsia="en-GB"/>
        </w:rPr>
        <w:t>giving</w:t>
      </w:r>
      <w:r w:rsidR="001D6C37" w:rsidRPr="00C325D9">
        <w:rPr>
          <w:rFonts w:asciiTheme="minorHAnsi" w:hAnsiTheme="minorHAnsi" w:cstheme="minorHAnsi"/>
          <w:lang w:eastAsia="en-GB"/>
        </w:rPr>
        <w:t xml:space="preserve"> the </w:t>
      </w:r>
      <w:r w:rsidR="00191BDB">
        <w:rPr>
          <w:rFonts w:asciiTheme="minorHAnsi" w:hAnsiTheme="minorHAnsi" w:cstheme="minorHAnsi"/>
          <w:lang w:eastAsia="en-GB"/>
        </w:rPr>
        <w:t xml:space="preserve">overall </w:t>
      </w:r>
      <w:r w:rsidR="001D6C37" w:rsidRPr="00C325D9">
        <w:rPr>
          <w:rFonts w:asciiTheme="minorHAnsi" w:hAnsiTheme="minorHAnsi" w:cstheme="minorHAnsi"/>
          <w:lang w:eastAsia="en-GB"/>
        </w:rPr>
        <w:t>guideline figure of 30,800</w:t>
      </w:r>
      <w:r w:rsidR="00191BDB">
        <w:rPr>
          <w:rFonts w:asciiTheme="minorHAnsi" w:hAnsiTheme="minorHAnsi" w:cstheme="minorHAnsi"/>
          <w:lang w:eastAsia="en-GB"/>
        </w:rPr>
        <w:t xml:space="preserve"> dwellings</w:t>
      </w:r>
      <w:r w:rsidR="001D6C37" w:rsidRPr="00C325D9">
        <w:rPr>
          <w:rFonts w:asciiTheme="minorHAnsi" w:hAnsiTheme="minorHAnsi" w:cstheme="minorHAnsi"/>
          <w:lang w:eastAsia="en-GB"/>
        </w:rPr>
        <w:t>.</w:t>
      </w:r>
    </w:p>
    <w:p w:rsidR="001D6C37" w:rsidRDefault="001D6C37" w:rsidP="001E0287">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Our case is that, when viewed in the round in this way, the high figures are not justified by proportionate evidence.  The hard reality is that it is proposed to build 30,800 </w:t>
      </w:r>
      <w:r w:rsidR="00C325D9">
        <w:rPr>
          <w:rFonts w:asciiTheme="minorHAnsi" w:hAnsiTheme="minorHAnsi" w:cstheme="minorHAnsi"/>
          <w:lang w:eastAsia="en-GB"/>
        </w:rPr>
        <w:t xml:space="preserve">new </w:t>
      </w:r>
      <w:r>
        <w:rPr>
          <w:rFonts w:asciiTheme="minorHAnsi" w:hAnsiTheme="minorHAnsi" w:cstheme="minorHAnsi"/>
          <w:lang w:eastAsia="en-GB"/>
        </w:rPr>
        <w:t xml:space="preserve">dwellings for a population that is projected to increase by only 28,380 </w:t>
      </w:r>
      <w:r w:rsidR="00C325D9">
        <w:rPr>
          <w:rFonts w:asciiTheme="minorHAnsi" w:hAnsiTheme="minorHAnsi" w:cstheme="minorHAnsi"/>
          <w:lang w:eastAsia="en-GB"/>
        </w:rPr>
        <w:t>during</w:t>
      </w:r>
      <w:r>
        <w:rPr>
          <w:rFonts w:asciiTheme="minorHAnsi" w:hAnsiTheme="minorHAnsi" w:cstheme="minorHAnsi"/>
          <w:lang w:eastAsia="en-GB"/>
        </w:rPr>
        <w:t xml:space="preserve"> the plan period.</w:t>
      </w:r>
    </w:p>
    <w:p w:rsidR="001D6C37" w:rsidRDefault="001D6C37" w:rsidP="001E0287">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That is why we have argued all along that the</w:t>
      </w:r>
      <w:r w:rsidRPr="00F12F7F">
        <w:rPr>
          <w:rFonts w:asciiTheme="minorHAnsi" w:hAnsiTheme="minorHAnsi" w:cstheme="minorHAnsi"/>
          <w:lang w:eastAsia="en-GB"/>
        </w:rPr>
        <w:t xml:space="preserve"> </w:t>
      </w:r>
      <w:r w:rsidR="0075063E">
        <w:rPr>
          <w:rFonts w:asciiTheme="minorHAnsi" w:hAnsiTheme="minorHAnsi" w:cstheme="minorHAnsi"/>
          <w:lang w:eastAsia="en-GB"/>
        </w:rPr>
        <w:t>guidelines</w:t>
      </w:r>
      <w:r w:rsidRPr="00F12F7F">
        <w:rPr>
          <w:rFonts w:asciiTheme="minorHAnsi" w:hAnsiTheme="minorHAnsi" w:cstheme="minorHAnsi"/>
          <w:lang w:eastAsia="en-GB"/>
        </w:rPr>
        <w:t xml:space="preserve"> for housing are </w:t>
      </w:r>
      <w:r>
        <w:rPr>
          <w:rFonts w:asciiTheme="minorHAnsi" w:hAnsiTheme="minorHAnsi" w:cstheme="minorHAnsi"/>
          <w:lang w:eastAsia="en-GB"/>
        </w:rPr>
        <w:t>unreasonably</w:t>
      </w:r>
      <w:r w:rsidRPr="00F12F7F">
        <w:rPr>
          <w:rFonts w:asciiTheme="minorHAnsi" w:hAnsiTheme="minorHAnsi" w:cstheme="minorHAnsi"/>
          <w:lang w:eastAsia="en-GB"/>
        </w:rPr>
        <w:t xml:space="preserve"> high, based on figures that are questionable</w:t>
      </w:r>
      <w:r>
        <w:rPr>
          <w:rFonts w:asciiTheme="minorHAnsi" w:hAnsiTheme="minorHAnsi" w:cstheme="minorHAnsi"/>
          <w:lang w:eastAsia="en-GB"/>
        </w:rPr>
        <w:t>.</w:t>
      </w:r>
    </w:p>
    <w:p w:rsidR="001D6C37" w:rsidRDefault="001D6C37" w:rsidP="001E0287">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We further argue that, taking account of the climate emergency (and the ecological emergency), the balance of evidence justifies building no more than the absolute minimum number of dwellings required by Government.</w:t>
      </w:r>
    </w:p>
    <w:p w:rsidR="00885951" w:rsidRPr="004959BA" w:rsidRDefault="00885951" w:rsidP="003618D6">
      <w:pPr>
        <w:pStyle w:val="Heading3"/>
        <w:spacing w:before="240" w:after="120"/>
        <w:rPr>
          <w:rFonts w:asciiTheme="minorHAnsi" w:eastAsiaTheme="minorHAnsi" w:hAnsiTheme="minorHAnsi" w:cstheme="minorHAnsi"/>
          <w:b/>
          <w:i/>
          <w:color w:val="0070C0"/>
          <w:lang w:eastAsia="en-GB"/>
        </w:rPr>
      </w:pPr>
      <w:bookmarkStart w:id="14" w:name="_Toc65242901"/>
      <w:r w:rsidRPr="004959BA">
        <w:rPr>
          <w:rFonts w:asciiTheme="minorHAnsi" w:eastAsiaTheme="minorHAnsi" w:hAnsiTheme="minorHAnsi" w:cstheme="minorHAnsi"/>
          <w:b/>
          <w:i/>
          <w:color w:val="0070C0"/>
          <w:lang w:eastAsia="en-GB"/>
        </w:rPr>
        <w:t>The employment numbers</w:t>
      </w:r>
      <w:bookmarkEnd w:id="14"/>
    </w:p>
    <w:p w:rsidR="0075063E" w:rsidRDefault="0075063E"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w:t>
      </w:r>
      <w:r w:rsidRPr="00F12F7F">
        <w:rPr>
          <w:rFonts w:asciiTheme="minorHAnsi" w:hAnsiTheme="minorHAnsi" w:cstheme="minorHAnsi"/>
          <w:lang w:eastAsia="en-GB"/>
        </w:rPr>
        <w:t xml:space="preserve"> </w:t>
      </w:r>
      <w:r>
        <w:rPr>
          <w:rFonts w:asciiTheme="minorHAnsi" w:hAnsiTheme="minorHAnsi" w:cstheme="minorHAnsi"/>
          <w:lang w:eastAsia="en-GB"/>
        </w:rPr>
        <w:t>g</w:t>
      </w:r>
      <w:r w:rsidR="006311EA">
        <w:rPr>
          <w:rFonts w:asciiTheme="minorHAnsi" w:hAnsiTheme="minorHAnsi" w:cstheme="minorHAnsi"/>
          <w:lang w:eastAsia="en-GB"/>
        </w:rPr>
        <w:t>uideline</w:t>
      </w:r>
      <w:r w:rsidRPr="00F12F7F">
        <w:rPr>
          <w:rFonts w:asciiTheme="minorHAnsi" w:hAnsiTheme="minorHAnsi" w:cstheme="minorHAnsi"/>
          <w:lang w:eastAsia="en-GB"/>
        </w:rPr>
        <w:t xml:space="preserve"> </w:t>
      </w:r>
      <w:r w:rsidR="006311EA">
        <w:rPr>
          <w:rFonts w:asciiTheme="minorHAnsi" w:hAnsiTheme="minorHAnsi" w:cstheme="minorHAnsi"/>
          <w:lang w:eastAsia="en-GB"/>
        </w:rPr>
        <w:t>of around 300 Ha of</w:t>
      </w:r>
      <w:r w:rsidRPr="00F12F7F">
        <w:rPr>
          <w:rFonts w:asciiTheme="minorHAnsi" w:hAnsiTheme="minorHAnsi" w:cstheme="minorHAnsi"/>
          <w:lang w:eastAsia="en-GB"/>
        </w:rPr>
        <w:t xml:space="preserve"> </w:t>
      </w:r>
      <w:r>
        <w:rPr>
          <w:rFonts w:asciiTheme="minorHAnsi" w:hAnsiTheme="minorHAnsi" w:cstheme="minorHAnsi"/>
          <w:lang w:eastAsia="en-GB"/>
        </w:rPr>
        <w:t>employment land</w:t>
      </w:r>
      <w:r w:rsidRPr="00F12F7F">
        <w:rPr>
          <w:rFonts w:asciiTheme="minorHAnsi" w:hAnsiTheme="minorHAnsi" w:cstheme="minorHAnsi"/>
          <w:lang w:eastAsia="en-GB"/>
        </w:rPr>
        <w:t xml:space="preserve"> </w:t>
      </w:r>
      <w:r w:rsidR="006311EA">
        <w:rPr>
          <w:rFonts w:asciiTheme="minorHAnsi" w:hAnsiTheme="minorHAnsi" w:cstheme="minorHAnsi"/>
          <w:lang w:eastAsia="en-GB"/>
        </w:rPr>
        <w:t>is</w:t>
      </w:r>
      <w:r w:rsidRPr="00F12F7F">
        <w:rPr>
          <w:rFonts w:asciiTheme="minorHAnsi" w:hAnsiTheme="minorHAnsi" w:cstheme="minorHAnsi"/>
          <w:lang w:eastAsia="en-GB"/>
        </w:rPr>
        <w:t xml:space="preserve"> </w:t>
      </w:r>
      <w:r>
        <w:rPr>
          <w:rFonts w:asciiTheme="minorHAnsi" w:hAnsiTheme="minorHAnsi" w:cstheme="minorHAnsi"/>
          <w:lang w:eastAsia="en-GB"/>
        </w:rPr>
        <w:t>even more unreasonably</w:t>
      </w:r>
      <w:r w:rsidRPr="00F12F7F">
        <w:rPr>
          <w:rFonts w:asciiTheme="minorHAnsi" w:hAnsiTheme="minorHAnsi" w:cstheme="minorHAnsi"/>
          <w:lang w:eastAsia="en-GB"/>
        </w:rPr>
        <w:t xml:space="preserve"> high, </w:t>
      </w:r>
      <w:r>
        <w:rPr>
          <w:rFonts w:asciiTheme="minorHAnsi" w:hAnsiTheme="minorHAnsi" w:cstheme="minorHAnsi"/>
          <w:lang w:eastAsia="en-GB"/>
        </w:rPr>
        <w:t xml:space="preserve">and </w:t>
      </w:r>
      <w:r w:rsidR="006311EA">
        <w:rPr>
          <w:rFonts w:asciiTheme="minorHAnsi" w:hAnsiTheme="minorHAnsi" w:cstheme="minorHAnsi"/>
          <w:lang w:eastAsia="en-GB"/>
        </w:rPr>
        <w:t>is</w:t>
      </w:r>
      <w:r>
        <w:rPr>
          <w:rFonts w:asciiTheme="minorHAnsi" w:hAnsiTheme="minorHAnsi" w:cstheme="minorHAnsi"/>
          <w:lang w:eastAsia="en-GB"/>
        </w:rPr>
        <w:t xml:space="preserve"> </w:t>
      </w:r>
      <w:r w:rsidRPr="00F12F7F">
        <w:rPr>
          <w:rFonts w:asciiTheme="minorHAnsi" w:hAnsiTheme="minorHAnsi" w:cstheme="minorHAnsi"/>
          <w:lang w:eastAsia="en-GB"/>
        </w:rPr>
        <w:t xml:space="preserve">based on figures that are </w:t>
      </w:r>
      <w:r>
        <w:rPr>
          <w:rFonts w:asciiTheme="minorHAnsi" w:hAnsiTheme="minorHAnsi" w:cstheme="minorHAnsi"/>
          <w:lang w:eastAsia="en-GB"/>
        </w:rPr>
        <w:t xml:space="preserve">even more </w:t>
      </w:r>
      <w:r w:rsidRPr="00F12F7F">
        <w:rPr>
          <w:rFonts w:asciiTheme="minorHAnsi" w:hAnsiTheme="minorHAnsi" w:cstheme="minorHAnsi"/>
          <w:lang w:eastAsia="en-GB"/>
        </w:rPr>
        <w:t>questionable</w:t>
      </w:r>
      <w:r>
        <w:rPr>
          <w:rFonts w:asciiTheme="minorHAnsi" w:hAnsiTheme="minorHAnsi" w:cstheme="minorHAnsi"/>
          <w:lang w:eastAsia="en-GB"/>
        </w:rPr>
        <w:t>, than those for housing.</w:t>
      </w:r>
      <w:r w:rsidR="006311EA">
        <w:rPr>
          <w:rFonts w:asciiTheme="minorHAnsi" w:hAnsiTheme="minorHAnsi" w:cstheme="minorHAnsi"/>
          <w:lang w:eastAsia="en-GB"/>
        </w:rPr>
        <w:t xml:space="preserve">  It is not justified by proportionate evidence.</w:t>
      </w:r>
    </w:p>
    <w:p w:rsidR="00122C72" w:rsidRDefault="00122C72"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employment figures are partly founded on t</w:t>
      </w:r>
      <w:r w:rsidRPr="00D73AA2">
        <w:rPr>
          <w:rFonts w:asciiTheme="minorHAnsi" w:hAnsiTheme="minorHAnsi" w:cstheme="minorHAnsi"/>
          <w:lang w:eastAsia="en-GB"/>
        </w:rPr>
        <w:t>he aim of the Economic Growth Strategy to ‘maximise our economic potential’</w:t>
      </w:r>
      <w:r>
        <w:rPr>
          <w:rFonts w:asciiTheme="minorHAnsi" w:hAnsiTheme="minorHAnsi" w:cstheme="minorHAnsi"/>
          <w:lang w:eastAsia="en-GB"/>
        </w:rPr>
        <w:t xml:space="preserve"> (</w:t>
      </w:r>
      <w:r>
        <w:rPr>
          <w:rFonts w:asciiTheme="minorHAnsi" w:hAnsiTheme="minorHAnsi" w:cstheme="minorHAnsi"/>
        </w:rPr>
        <w:t>p</w:t>
      </w:r>
      <w:r w:rsidRPr="00122C72">
        <w:rPr>
          <w:rFonts w:asciiTheme="minorHAnsi" w:hAnsiTheme="minorHAnsi" w:cstheme="minorHAnsi"/>
        </w:rPr>
        <w:t>aragraph 3.16 of this Draft Plan</w:t>
      </w:r>
      <w:r w:rsidR="00191BDB">
        <w:rPr>
          <w:rFonts w:asciiTheme="minorHAnsi" w:hAnsiTheme="minorHAnsi" w:cstheme="minorHAnsi"/>
        </w:rPr>
        <w:t>)</w:t>
      </w:r>
      <w:r>
        <w:rPr>
          <w:rFonts w:asciiTheme="minorHAnsi" w:hAnsiTheme="minorHAnsi" w:cstheme="minorHAnsi"/>
          <w:lang w:eastAsia="en-GB"/>
        </w:rPr>
        <w:t>.</w:t>
      </w:r>
      <w:r w:rsidRPr="00D73AA2">
        <w:rPr>
          <w:rFonts w:asciiTheme="minorHAnsi" w:hAnsiTheme="minorHAnsi" w:cstheme="minorHAnsi"/>
          <w:lang w:eastAsia="en-GB"/>
        </w:rPr>
        <w:t xml:space="preserve"> </w:t>
      </w:r>
      <w:r>
        <w:rPr>
          <w:rFonts w:asciiTheme="minorHAnsi" w:hAnsiTheme="minorHAnsi" w:cstheme="minorHAnsi"/>
          <w:lang w:eastAsia="en-GB"/>
        </w:rPr>
        <w:t xml:space="preserve">This is </w:t>
      </w:r>
      <w:r w:rsidRPr="00D73AA2">
        <w:rPr>
          <w:rFonts w:asciiTheme="minorHAnsi" w:hAnsiTheme="minorHAnsi" w:cstheme="minorHAnsi"/>
          <w:lang w:eastAsia="en-GB"/>
        </w:rPr>
        <w:t>contrary to climate change goals.</w:t>
      </w:r>
      <w:r>
        <w:rPr>
          <w:rFonts w:asciiTheme="minorHAnsi" w:hAnsiTheme="minorHAnsi" w:cstheme="minorHAnsi"/>
          <w:lang w:eastAsia="en-GB"/>
        </w:rPr>
        <w:t xml:space="preserve">  </w:t>
      </w:r>
    </w:p>
    <w:p w:rsidR="006311EA" w:rsidRDefault="006311EA" w:rsidP="00174C11">
      <w:pPr>
        <w:pStyle w:val="ListParagraph"/>
        <w:numPr>
          <w:ilvl w:val="1"/>
          <w:numId w:val="1"/>
        </w:numPr>
        <w:spacing w:before="240" w:line="300" w:lineRule="auto"/>
        <w:ind w:left="0" w:hanging="567"/>
        <w:contextualSpacing w:val="0"/>
        <w:textAlignment w:val="baseline"/>
        <w:rPr>
          <w:rFonts w:asciiTheme="minorHAnsi" w:eastAsia="Times New Roman" w:hAnsiTheme="minorHAnsi" w:cstheme="minorHAnsi"/>
          <w:iCs/>
          <w:color w:val="212529"/>
          <w:szCs w:val="24"/>
          <w:lang w:eastAsia="en-GB"/>
        </w:rPr>
      </w:pPr>
      <w:r>
        <w:rPr>
          <w:rFonts w:asciiTheme="minorHAnsi" w:hAnsiTheme="minorHAnsi" w:cstheme="minorHAnsi"/>
          <w:lang w:eastAsia="en-GB"/>
        </w:rPr>
        <w:t xml:space="preserve">Shropshire Council’s guideline figures for employment land have evolved during the course of the Local Plan Review process.  </w:t>
      </w:r>
      <w:r>
        <w:rPr>
          <w:rFonts w:asciiTheme="minorHAnsi" w:eastAsia="Times New Roman" w:hAnsiTheme="minorHAnsi" w:cstheme="minorHAnsi"/>
          <w:iCs/>
          <w:color w:val="212529"/>
          <w:szCs w:val="24"/>
          <w:lang w:eastAsia="en-GB"/>
        </w:rPr>
        <w:t xml:space="preserve">At the Preferred Scale and Distribution of Development consultation stage, the Council’s Preferred Strategy, stated and repeated throughout </w:t>
      </w:r>
      <w:r w:rsidR="004E0FE0">
        <w:rPr>
          <w:rFonts w:asciiTheme="minorHAnsi" w:eastAsia="Times New Roman" w:hAnsiTheme="minorHAnsi" w:cstheme="minorHAnsi"/>
          <w:iCs/>
          <w:color w:val="212529"/>
          <w:szCs w:val="24"/>
          <w:lang w:eastAsia="en-GB"/>
        </w:rPr>
        <w:lastRenderedPageBreak/>
        <w:t xml:space="preserve">subsequent iterations of the documentation, including within </w:t>
      </w:r>
      <w:r>
        <w:rPr>
          <w:rFonts w:asciiTheme="minorHAnsi" w:eastAsia="Times New Roman" w:hAnsiTheme="minorHAnsi" w:cstheme="minorHAnsi"/>
          <w:iCs/>
          <w:color w:val="212529"/>
          <w:szCs w:val="24"/>
          <w:lang w:eastAsia="en-GB"/>
        </w:rPr>
        <w:t xml:space="preserve">the present </w:t>
      </w:r>
      <w:r w:rsidR="004E0FE0">
        <w:rPr>
          <w:rFonts w:asciiTheme="minorHAnsi" w:eastAsia="Times New Roman" w:hAnsiTheme="minorHAnsi" w:cstheme="minorHAnsi"/>
          <w:iCs/>
          <w:color w:val="212529"/>
          <w:szCs w:val="24"/>
          <w:lang w:eastAsia="en-GB"/>
        </w:rPr>
        <w:t xml:space="preserve">Regulation 19 Draft Plan, </w:t>
      </w:r>
      <w:r>
        <w:rPr>
          <w:rFonts w:asciiTheme="minorHAnsi" w:eastAsia="Times New Roman" w:hAnsiTheme="minorHAnsi" w:cstheme="minorHAnsi"/>
          <w:iCs/>
          <w:color w:val="212529"/>
          <w:szCs w:val="24"/>
          <w:lang w:eastAsia="en-GB"/>
        </w:rPr>
        <w:t xml:space="preserve">is for </w:t>
      </w:r>
      <w:r w:rsidRPr="00187554">
        <w:rPr>
          <w:rFonts w:asciiTheme="minorHAnsi" w:eastAsia="Times New Roman" w:hAnsiTheme="minorHAnsi" w:cstheme="minorHAnsi"/>
          <w:iCs/>
          <w:color w:val="212529"/>
          <w:szCs w:val="24"/>
          <w:lang w:eastAsia="en-GB"/>
        </w:rPr>
        <w:t>a balance between new housing and local employment</w:t>
      </w:r>
      <w:r>
        <w:rPr>
          <w:rFonts w:asciiTheme="minorHAnsi" w:eastAsia="Times New Roman" w:hAnsiTheme="minorHAnsi" w:cstheme="minorHAnsi"/>
          <w:iCs/>
          <w:color w:val="212529"/>
          <w:szCs w:val="24"/>
          <w:lang w:eastAsia="en-GB"/>
        </w:rPr>
        <w:t>.</w:t>
      </w:r>
    </w:p>
    <w:p w:rsidR="006311EA" w:rsidRPr="000D088F" w:rsidRDefault="006311EA" w:rsidP="00174C11">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sidRPr="00174C11">
        <w:rPr>
          <w:rFonts w:asciiTheme="minorHAnsi" w:hAnsiTheme="minorHAnsi" w:cstheme="minorHAnsi"/>
          <w:lang w:eastAsia="en-GB"/>
        </w:rPr>
        <w:t>That</w:t>
      </w:r>
      <w:r>
        <w:rPr>
          <w:rFonts w:asciiTheme="minorHAnsi" w:eastAsia="Times New Roman" w:hAnsiTheme="minorHAnsi" w:cstheme="minorHAnsi"/>
          <w:iCs/>
          <w:color w:val="212529"/>
          <w:szCs w:val="24"/>
          <w:lang w:eastAsia="en-GB"/>
        </w:rPr>
        <w:t xml:space="preserve"> is a sensible aim, but we still think that the calculation of the employment land so required has been overstated.  The calculation behind the original figures was set out in Table 7 on page 42 of the Preferred Scale and Distribution of Development </w:t>
      </w:r>
      <w:r w:rsidR="008719D8">
        <w:rPr>
          <w:rFonts w:asciiTheme="minorHAnsi" w:eastAsia="Times New Roman" w:hAnsiTheme="minorHAnsi" w:cstheme="minorHAnsi"/>
          <w:iCs/>
          <w:color w:val="212529"/>
          <w:szCs w:val="24"/>
          <w:lang w:eastAsia="en-GB"/>
        </w:rPr>
        <w:t xml:space="preserve">consultation </w:t>
      </w:r>
      <w:r>
        <w:rPr>
          <w:rFonts w:asciiTheme="minorHAnsi" w:eastAsia="Times New Roman" w:hAnsiTheme="minorHAnsi" w:cstheme="minorHAnsi"/>
          <w:iCs/>
          <w:color w:val="212529"/>
          <w:szCs w:val="24"/>
          <w:lang w:eastAsia="en-GB"/>
        </w:rPr>
        <w:t>document:</w:t>
      </w:r>
    </w:p>
    <w:p w:rsidR="006311EA" w:rsidRDefault="006311EA" w:rsidP="00C325D9">
      <w:pPr>
        <w:pStyle w:val="ListParagraph"/>
        <w:spacing w:before="240" w:after="240"/>
        <w:contextualSpacing w:val="0"/>
        <w:textAlignment w:val="baseline"/>
        <w:rPr>
          <w:rFonts w:asciiTheme="minorHAnsi" w:hAnsiTheme="minorHAnsi" w:cstheme="minorHAnsi"/>
          <w:szCs w:val="24"/>
          <w:lang w:eastAsia="en-GB"/>
        </w:rPr>
      </w:pPr>
      <w:r>
        <w:rPr>
          <w:noProof/>
          <w:lang w:eastAsia="en-GB"/>
        </w:rPr>
        <w:drawing>
          <wp:inline distT="0" distB="0" distL="0" distR="0" wp14:anchorId="2289619E" wp14:editId="0B72AC57">
            <wp:extent cx="6060913" cy="885825"/>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134" t="32795" r="24053" b="50364"/>
                    <a:stretch/>
                  </pic:blipFill>
                  <pic:spPr bwMode="auto">
                    <a:xfrm>
                      <a:off x="0" y="0"/>
                      <a:ext cx="6075282" cy="887925"/>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rsidR="004E0FE0" w:rsidRPr="00AE243C" w:rsidRDefault="004E0FE0" w:rsidP="00C325D9">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This calculation of ‘balance’ </w:t>
      </w:r>
      <w:r w:rsidRPr="00AE243C">
        <w:rPr>
          <w:rFonts w:asciiTheme="minorHAnsi" w:hAnsiTheme="minorHAnsi" w:cstheme="minorHAnsi"/>
          <w:szCs w:val="24"/>
          <w:lang w:eastAsia="en-GB"/>
        </w:rPr>
        <w:t xml:space="preserve">is derived from </w:t>
      </w:r>
      <w:r w:rsidR="008719D8">
        <w:rPr>
          <w:rFonts w:asciiTheme="minorHAnsi" w:hAnsiTheme="minorHAnsi" w:cstheme="minorHAnsi"/>
          <w:szCs w:val="24"/>
          <w:lang w:eastAsia="en-GB"/>
        </w:rPr>
        <w:t xml:space="preserve">the relatively simplistic formula </w:t>
      </w:r>
      <w:r w:rsidRPr="00AE243C">
        <w:rPr>
          <w:rFonts w:asciiTheme="minorHAnsi" w:hAnsiTheme="minorHAnsi" w:cstheme="minorHAnsi"/>
          <w:szCs w:val="24"/>
          <w:lang w:eastAsia="en-GB"/>
        </w:rPr>
        <w:t>that each</w:t>
      </w:r>
      <w:r>
        <w:rPr>
          <w:rFonts w:asciiTheme="minorHAnsi" w:hAnsiTheme="minorHAnsi" w:cstheme="minorHAnsi"/>
          <w:szCs w:val="24"/>
          <w:lang w:eastAsia="en-GB"/>
        </w:rPr>
        <w:t xml:space="preserve"> house</w:t>
      </w:r>
      <w:r w:rsidRPr="00AE243C">
        <w:rPr>
          <w:rFonts w:asciiTheme="minorHAnsi" w:hAnsiTheme="minorHAnsi" w:cstheme="minorHAnsi"/>
          <w:szCs w:val="24"/>
          <w:lang w:eastAsia="en-GB"/>
        </w:rPr>
        <w:t xml:space="preserve"> produces one job, each job requires 42.25 sq m on average</w:t>
      </w:r>
      <w:r>
        <w:rPr>
          <w:rFonts w:asciiTheme="minorHAnsi" w:hAnsiTheme="minorHAnsi" w:cstheme="minorHAnsi"/>
          <w:szCs w:val="24"/>
          <w:lang w:eastAsia="en-GB"/>
        </w:rPr>
        <w:t xml:space="preserve"> of work space</w:t>
      </w:r>
      <w:r w:rsidRPr="00AE243C">
        <w:rPr>
          <w:rFonts w:asciiTheme="minorHAnsi" w:hAnsiTheme="minorHAnsi" w:cstheme="minorHAnsi"/>
          <w:szCs w:val="24"/>
          <w:lang w:eastAsia="en-GB"/>
        </w:rPr>
        <w:t>, and employees’ actual workspace area represents only 40% of an overall employment site.  There are 10,000 sq m in a hectare (Ha) so</w:t>
      </w:r>
      <w:r>
        <w:rPr>
          <w:rFonts w:asciiTheme="minorHAnsi" w:hAnsiTheme="minorHAnsi" w:cstheme="minorHAnsi"/>
          <w:szCs w:val="24"/>
          <w:lang w:eastAsia="en-GB"/>
        </w:rPr>
        <w:t>, for example,</w:t>
      </w:r>
      <w:r w:rsidRPr="00AE243C">
        <w:rPr>
          <w:rFonts w:asciiTheme="minorHAnsi" w:hAnsiTheme="minorHAnsi" w:cstheme="minorHAnsi"/>
          <w:szCs w:val="24"/>
          <w:lang w:eastAsia="en-GB"/>
        </w:rPr>
        <w:t xml:space="preserve"> the </w:t>
      </w:r>
      <w:r>
        <w:rPr>
          <w:rFonts w:asciiTheme="minorHAnsi" w:hAnsiTheme="minorHAnsi" w:cstheme="minorHAnsi"/>
          <w:szCs w:val="24"/>
          <w:lang w:eastAsia="en-GB"/>
        </w:rPr>
        <w:t xml:space="preserve">original </w:t>
      </w:r>
      <w:r w:rsidRPr="00AE243C">
        <w:rPr>
          <w:rFonts w:asciiTheme="minorHAnsi" w:hAnsiTheme="minorHAnsi" w:cstheme="minorHAnsi"/>
          <w:szCs w:val="24"/>
          <w:lang w:eastAsia="en-GB"/>
        </w:rPr>
        <w:t xml:space="preserve">equation </w:t>
      </w:r>
      <w:r>
        <w:rPr>
          <w:rFonts w:asciiTheme="minorHAnsi" w:hAnsiTheme="minorHAnsi" w:cstheme="minorHAnsi"/>
          <w:szCs w:val="24"/>
          <w:lang w:eastAsia="en-GB"/>
        </w:rPr>
        <w:t>for Shrewsbury wa</w:t>
      </w:r>
      <w:r w:rsidRPr="00AE243C">
        <w:rPr>
          <w:rFonts w:asciiTheme="minorHAnsi" w:hAnsiTheme="minorHAnsi" w:cstheme="minorHAnsi"/>
          <w:szCs w:val="24"/>
          <w:lang w:eastAsia="en-GB"/>
        </w:rPr>
        <w:t>s:</w:t>
      </w:r>
    </w:p>
    <w:p w:rsidR="004E0FE0" w:rsidRPr="00AE243C" w:rsidRDefault="004E0FE0" w:rsidP="004E0FE0">
      <w:pPr>
        <w:pStyle w:val="ListParagraph"/>
        <w:spacing w:before="120"/>
        <w:ind w:left="720"/>
        <w:contextualSpacing w:val="0"/>
        <w:rPr>
          <w:rFonts w:asciiTheme="minorHAnsi" w:hAnsiTheme="minorHAnsi" w:cstheme="minorHAnsi"/>
          <w:szCs w:val="24"/>
          <w:lang w:eastAsia="en-GB"/>
        </w:rPr>
      </w:pPr>
      <w:r w:rsidRPr="00AE243C">
        <w:rPr>
          <w:rFonts w:asciiTheme="minorHAnsi" w:hAnsiTheme="minorHAnsi" w:cstheme="minorHAnsi"/>
          <w:szCs w:val="24"/>
          <w:lang w:eastAsia="en-GB"/>
        </w:rPr>
        <w:t>8,625 x 42.25 / 10,000 / 40% = 91.1 Ha, rounded to 91</w:t>
      </w:r>
      <w:r>
        <w:rPr>
          <w:rFonts w:asciiTheme="minorHAnsi" w:hAnsiTheme="minorHAnsi" w:cstheme="minorHAnsi"/>
          <w:szCs w:val="24"/>
          <w:lang w:eastAsia="en-GB"/>
        </w:rPr>
        <w:t xml:space="preserve"> Ha</w:t>
      </w:r>
    </w:p>
    <w:p w:rsidR="004E0FE0" w:rsidRDefault="004E0FE0" w:rsidP="00174C11">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This figure of 91 Ha of employment land for Shrewsbury was the figure </w:t>
      </w:r>
      <w:r w:rsidR="008719D8">
        <w:rPr>
          <w:rFonts w:asciiTheme="minorHAnsi" w:hAnsiTheme="minorHAnsi" w:cstheme="minorHAnsi"/>
          <w:szCs w:val="24"/>
          <w:lang w:eastAsia="en-GB"/>
        </w:rPr>
        <w:t xml:space="preserve">shown for Shrewsbury in Table 2 on page 21 of the </w:t>
      </w:r>
      <w:r w:rsidR="008719D8">
        <w:rPr>
          <w:rFonts w:asciiTheme="minorHAnsi" w:eastAsia="Times New Roman" w:hAnsiTheme="minorHAnsi" w:cstheme="minorHAnsi"/>
          <w:iCs/>
          <w:color w:val="212529"/>
          <w:szCs w:val="24"/>
          <w:lang w:eastAsia="en-GB"/>
        </w:rPr>
        <w:t>Preferred Scale and Distribution of Development consultation document</w:t>
      </w:r>
      <w:r w:rsidR="008719D8">
        <w:rPr>
          <w:rFonts w:asciiTheme="minorHAnsi" w:hAnsiTheme="minorHAnsi" w:cstheme="minorHAnsi"/>
          <w:szCs w:val="24"/>
          <w:lang w:eastAsia="en-GB"/>
        </w:rPr>
        <w:t>, which we reproduce below:</w:t>
      </w:r>
    </w:p>
    <w:p w:rsidR="008719D8" w:rsidRDefault="008719D8" w:rsidP="008719D8">
      <w:pPr>
        <w:pStyle w:val="ListParagraph"/>
        <w:spacing w:before="240" w:after="240"/>
        <w:contextualSpacing w:val="0"/>
        <w:textAlignment w:val="baseline"/>
        <w:rPr>
          <w:rFonts w:asciiTheme="minorHAnsi" w:hAnsiTheme="minorHAnsi" w:cstheme="minorHAnsi"/>
          <w:szCs w:val="24"/>
          <w:lang w:eastAsia="en-GB"/>
        </w:rPr>
      </w:pPr>
      <w:r>
        <w:rPr>
          <w:noProof/>
          <w:lang w:eastAsia="en-GB"/>
        </w:rPr>
        <w:drawing>
          <wp:inline distT="0" distB="0" distL="0" distR="0" wp14:anchorId="322F2234" wp14:editId="1D843CF6">
            <wp:extent cx="6048375" cy="3458512"/>
            <wp:effectExtent l="19050" t="1905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638" t="20743" r="29386" b="21336"/>
                    <a:stretch/>
                  </pic:blipFill>
                  <pic:spPr bwMode="auto">
                    <a:xfrm>
                      <a:off x="0" y="0"/>
                      <a:ext cx="6076299" cy="3474479"/>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rsidR="00174C11" w:rsidRDefault="00174C11" w:rsidP="00071085">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In the “Balanced employment from housing“ column of our table 4.2 above we show the calculation of what this balanced employment land would be, using the above formula, but </w:t>
      </w:r>
      <w:r>
        <w:rPr>
          <w:rFonts w:asciiTheme="minorHAnsi" w:hAnsiTheme="minorHAnsi" w:cstheme="minorHAnsi"/>
          <w:szCs w:val="24"/>
          <w:lang w:eastAsia="en-GB"/>
        </w:rPr>
        <w:lastRenderedPageBreak/>
        <w:t xml:space="preserve">now based on the current housing guidelines within this present Draft Plan.  It can be seen that not only do many of the figures </w:t>
      </w:r>
      <w:r w:rsidR="00F51F9D">
        <w:rPr>
          <w:rFonts w:asciiTheme="minorHAnsi" w:hAnsiTheme="minorHAnsi" w:cstheme="minorHAnsi"/>
          <w:szCs w:val="24"/>
          <w:lang w:eastAsia="en-GB"/>
        </w:rPr>
        <w:t xml:space="preserve">in our column </w:t>
      </w:r>
      <w:r>
        <w:rPr>
          <w:rFonts w:asciiTheme="minorHAnsi" w:hAnsiTheme="minorHAnsi" w:cstheme="minorHAnsi"/>
          <w:szCs w:val="24"/>
          <w:lang w:eastAsia="en-GB"/>
        </w:rPr>
        <w:t>match those in the Council’s Table 2 above, but many of them still match the employment guideline figures within this current Draft Plan</w:t>
      </w:r>
      <w:r w:rsidR="009A01A7">
        <w:rPr>
          <w:rFonts w:asciiTheme="minorHAnsi" w:hAnsiTheme="minorHAnsi" w:cstheme="minorHAnsi"/>
          <w:szCs w:val="24"/>
          <w:lang w:eastAsia="en-GB"/>
        </w:rPr>
        <w:t>, even though the plan period has been extended by 10% since the</w:t>
      </w:r>
      <w:r w:rsidR="009A01A7" w:rsidRPr="009A01A7">
        <w:rPr>
          <w:rFonts w:asciiTheme="minorHAnsi" w:hAnsiTheme="minorHAnsi" w:cstheme="minorHAnsi"/>
          <w:szCs w:val="24"/>
          <w:lang w:eastAsia="en-GB"/>
        </w:rPr>
        <w:t xml:space="preserve"> </w:t>
      </w:r>
      <w:r w:rsidR="009A01A7">
        <w:rPr>
          <w:rFonts w:asciiTheme="minorHAnsi" w:hAnsiTheme="minorHAnsi" w:cstheme="minorHAnsi"/>
          <w:szCs w:val="24"/>
          <w:lang w:eastAsia="en-GB"/>
        </w:rPr>
        <w:t>Preferred Scale and Distribution of Development stage</w:t>
      </w:r>
      <w:r>
        <w:rPr>
          <w:rFonts w:asciiTheme="minorHAnsi" w:hAnsiTheme="minorHAnsi" w:cstheme="minorHAnsi"/>
          <w:szCs w:val="24"/>
          <w:lang w:eastAsia="en-GB"/>
        </w:rPr>
        <w:t>.</w:t>
      </w:r>
    </w:p>
    <w:p w:rsidR="00F51F9D" w:rsidRDefault="004E0FE0" w:rsidP="00071085">
      <w:pPr>
        <w:pStyle w:val="ListParagraph"/>
        <w:numPr>
          <w:ilvl w:val="1"/>
          <w:numId w:val="1"/>
        </w:numPr>
        <w:spacing w:before="18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The same principle was applied to all five Principal centres </w:t>
      </w:r>
      <w:r w:rsidR="00F46464">
        <w:rPr>
          <w:rFonts w:asciiTheme="minorHAnsi" w:hAnsiTheme="minorHAnsi" w:cstheme="minorHAnsi"/>
          <w:szCs w:val="24"/>
          <w:lang w:eastAsia="en-GB"/>
        </w:rPr>
        <w:t>at</w:t>
      </w:r>
      <w:r>
        <w:rPr>
          <w:rFonts w:asciiTheme="minorHAnsi" w:hAnsiTheme="minorHAnsi" w:cstheme="minorHAnsi"/>
          <w:szCs w:val="24"/>
          <w:lang w:eastAsia="en-GB"/>
        </w:rPr>
        <w:t xml:space="preserve"> the Preferred Scale and Distribution of Development stage of the LPR.  However at the Preferred Sites stage, the guideline employment land figures for Bridgnorth and Shifnal, which were previously identical at 16 Ha each, were increased to 28 Ha for Bridgnorth and to 40 Ha for Shifnal, to take account of largely unspec</w:t>
      </w:r>
      <w:r w:rsidR="00236342">
        <w:rPr>
          <w:rFonts w:asciiTheme="minorHAnsi" w:hAnsiTheme="minorHAnsi" w:cstheme="minorHAnsi"/>
          <w:szCs w:val="24"/>
          <w:lang w:eastAsia="en-GB"/>
        </w:rPr>
        <w:t>ified “local circumstances”.  The guideline figure</w:t>
      </w:r>
      <w:r>
        <w:rPr>
          <w:rFonts w:asciiTheme="minorHAnsi" w:hAnsiTheme="minorHAnsi" w:cstheme="minorHAnsi"/>
          <w:szCs w:val="24"/>
          <w:lang w:eastAsia="en-GB"/>
        </w:rPr>
        <w:t xml:space="preserve"> has now been increased to 49 Ha for Bridgnorth.</w:t>
      </w:r>
      <w:r w:rsidR="00F51F9D">
        <w:rPr>
          <w:rFonts w:asciiTheme="minorHAnsi" w:hAnsiTheme="minorHAnsi" w:cstheme="minorHAnsi"/>
          <w:szCs w:val="24"/>
          <w:lang w:eastAsia="en-GB"/>
        </w:rPr>
        <w:t xml:space="preserve">  </w:t>
      </w:r>
    </w:p>
    <w:p w:rsidR="004E0FE0" w:rsidRDefault="00F51F9D" w:rsidP="00071085">
      <w:pPr>
        <w:pStyle w:val="ListParagraph"/>
        <w:numPr>
          <w:ilvl w:val="1"/>
          <w:numId w:val="1"/>
        </w:numPr>
        <w:spacing w:before="18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The guideline figures for some other settlements have also subsequently been ‘’tweaked” beyond this equation of balance, most notably for Shrewsbury, Oswestry, Market D</w:t>
      </w:r>
      <w:r w:rsidR="00236342">
        <w:rPr>
          <w:rFonts w:asciiTheme="minorHAnsi" w:hAnsiTheme="minorHAnsi" w:cstheme="minorHAnsi"/>
          <w:szCs w:val="24"/>
          <w:lang w:eastAsia="en-GB"/>
        </w:rPr>
        <w:t xml:space="preserve">rayton </w:t>
      </w:r>
      <w:r>
        <w:rPr>
          <w:rFonts w:asciiTheme="minorHAnsi" w:hAnsiTheme="minorHAnsi" w:cstheme="minorHAnsi"/>
          <w:szCs w:val="24"/>
          <w:lang w:eastAsia="en-GB"/>
        </w:rPr>
        <w:t xml:space="preserve">and Craven Arms.  The question arises as to whether proportionate evidence has been put forward to justify all these figures. </w:t>
      </w:r>
    </w:p>
    <w:p w:rsidR="00236342" w:rsidRDefault="00236342" w:rsidP="00071085">
      <w:pPr>
        <w:pStyle w:val="ListParagraph"/>
        <w:numPr>
          <w:ilvl w:val="1"/>
          <w:numId w:val="1"/>
        </w:numPr>
        <w:spacing w:before="180" w:after="6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Overall, there are two main elements as to whether the equation of balance used to derive the employment land figures is based on proportionate evidence</w:t>
      </w:r>
      <w:r w:rsidR="009A01A7">
        <w:rPr>
          <w:rFonts w:asciiTheme="minorHAnsi" w:hAnsiTheme="minorHAnsi" w:cstheme="minorHAnsi"/>
          <w:szCs w:val="24"/>
          <w:lang w:eastAsia="en-GB"/>
        </w:rPr>
        <w:t>, and we elaborate further on each</w:t>
      </w:r>
      <w:r>
        <w:rPr>
          <w:rFonts w:asciiTheme="minorHAnsi" w:hAnsiTheme="minorHAnsi" w:cstheme="minorHAnsi"/>
          <w:szCs w:val="24"/>
          <w:lang w:eastAsia="en-GB"/>
        </w:rPr>
        <w:t>:</w:t>
      </w:r>
    </w:p>
    <w:p w:rsidR="00236342" w:rsidRDefault="00236342" w:rsidP="00071085">
      <w:pPr>
        <w:pStyle w:val="ListParagraph"/>
        <w:numPr>
          <w:ilvl w:val="0"/>
          <w:numId w:val="10"/>
        </w:numPr>
        <w:spacing w:before="60" w:after="6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Whether an appropriately justified </w:t>
      </w:r>
      <w:r w:rsidR="009A01A7">
        <w:rPr>
          <w:rFonts w:asciiTheme="minorHAnsi" w:hAnsiTheme="minorHAnsi" w:cstheme="minorHAnsi"/>
          <w:szCs w:val="24"/>
          <w:lang w:eastAsia="en-GB"/>
        </w:rPr>
        <w:t>employment density has been adopted</w:t>
      </w:r>
      <w:r w:rsidR="004574C5">
        <w:rPr>
          <w:rFonts w:asciiTheme="minorHAnsi" w:hAnsiTheme="minorHAnsi" w:cstheme="minorHAnsi"/>
          <w:szCs w:val="24"/>
          <w:lang w:eastAsia="en-GB"/>
        </w:rPr>
        <w:t>.</w:t>
      </w:r>
    </w:p>
    <w:p w:rsidR="009A01A7" w:rsidRDefault="009A01A7" w:rsidP="00071085">
      <w:pPr>
        <w:pStyle w:val="ListParagraph"/>
        <w:numPr>
          <w:ilvl w:val="0"/>
          <w:numId w:val="10"/>
        </w:numPr>
        <w:spacing w:before="6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Whether each new dwelling is likely to require a new job</w:t>
      </w:r>
      <w:r w:rsidR="004574C5">
        <w:rPr>
          <w:rFonts w:asciiTheme="minorHAnsi" w:hAnsiTheme="minorHAnsi" w:cstheme="minorHAnsi"/>
          <w:szCs w:val="24"/>
          <w:lang w:eastAsia="en-GB"/>
        </w:rPr>
        <w:t>.</w:t>
      </w:r>
    </w:p>
    <w:p w:rsidR="009A01A7" w:rsidRPr="004959BA" w:rsidRDefault="009A01A7" w:rsidP="00071085">
      <w:pPr>
        <w:pStyle w:val="Heading3"/>
        <w:spacing w:before="120" w:after="120"/>
        <w:rPr>
          <w:rFonts w:asciiTheme="minorHAnsi" w:eastAsiaTheme="minorHAnsi" w:hAnsiTheme="minorHAnsi" w:cstheme="minorHAnsi"/>
          <w:b/>
          <w:i/>
          <w:color w:val="0070C0"/>
          <w:lang w:eastAsia="en-GB"/>
        </w:rPr>
      </w:pPr>
      <w:bookmarkStart w:id="15" w:name="_Toc65242902"/>
      <w:r w:rsidRPr="004959BA">
        <w:rPr>
          <w:rFonts w:asciiTheme="minorHAnsi" w:eastAsiaTheme="minorHAnsi" w:hAnsiTheme="minorHAnsi" w:cstheme="minorHAnsi"/>
          <w:b/>
          <w:i/>
          <w:color w:val="0070C0"/>
          <w:lang w:eastAsia="en-GB"/>
        </w:rPr>
        <w:t>Employment density</w:t>
      </w:r>
      <w:bookmarkEnd w:id="15"/>
    </w:p>
    <w:p w:rsidR="009A01A7" w:rsidRPr="00955ED1" w:rsidRDefault="00992BD0" w:rsidP="00071085">
      <w:pPr>
        <w:pStyle w:val="ListParagraph"/>
        <w:numPr>
          <w:ilvl w:val="1"/>
          <w:numId w:val="1"/>
        </w:numPr>
        <w:spacing w:before="12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A major aim of the Shropshire Economic Growth Strategy is to increase productivity</w:t>
      </w:r>
      <w:r>
        <w:rPr>
          <w:rStyle w:val="FootnoteReference"/>
          <w:rFonts w:asciiTheme="minorHAnsi" w:hAnsiTheme="minorHAnsi" w:cstheme="minorHAnsi"/>
          <w:szCs w:val="24"/>
          <w:lang w:eastAsia="en-GB"/>
        </w:rPr>
        <w:footnoteReference w:id="10"/>
      </w:r>
      <w:r>
        <w:rPr>
          <w:rFonts w:asciiTheme="minorHAnsi" w:hAnsiTheme="minorHAnsi" w:cstheme="minorHAnsi"/>
          <w:szCs w:val="24"/>
          <w:lang w:eastAsia="en-GB"/>
        </w:rPr>
        <w:t xml:space="preserve">. </w:t>
      </w:r>
      <w:r w:rsidR="009C40E0">
        <w:rPr>
          <w:rFonts w:asciiTheme="minorHAnsi" w:hAnsiTheme="minorHAnsi" w:cstheme="minorHAnsi"/>
          <w:szCs w:val="24"/>
          <w:lang w:eastAsia="en-GB"/>
        </w:rPr>
        <w:t xml:space="preserve"> </w:t>
      </w:r>
      <w:r>
        <w:rPr>
          <w:rFonts w:asciiTheme="minorHAnsi" w:hAnsiTheme="minorHAnsi" w:cstheme="minorHAnsi"/>
          <w:szCs w:val="24"/>
          <w:lang w:eastAsia="en-GB"/>
        </w:rPr>
        <w:t xml:space="preserve">A consequential aim is that </w:t>
      </w:r>
      <w:r w:rsidR="009A01A7">
        <w:rPr>
          <w:rFonts w:asciiTheme="minorHAnsi" w:hAnsiTheme="minorHAnsi" w:cstheme="minorHAnsi"/>
          <w:szCs w:val="24"/>
          <w:lang w:eastAsia="en-GB"/>
        </w:rPr>
        <w:t>of improving median earnings</w:t>
      </w:r>
      <w:r>
        <w:rPr>
          <w:rFonts w:asciiTheme="minorHAnsi" w:hAnsiTheme="minorHAnsi" w:cstheme="minorHAnsi"/>
          <w:szCs w:val="24"/>
          <w:lang w:eastAsia="en-GB"/>
        </w:rPr>
        <w:t>, which</w:t>
      </w:r>
      <w:r w:rsidR="009A01A7">
        <w:rPr>
          <w:rFonts w:asciiTheme="minorHAnsi" w:hAnsiTheme="minorHAnsi" w:cstheme="minorHAnsi"/>
          <w:szCs w:val="24"/>
          <w:lang w:eastAsia="en-GB"/>
        </w:rPr>
        <w:t xml:space="preserve"> </w:t>
      </w:r>
      <w:r>
        <w:rPr>
          <w:rFonts w:asciiTheme="minorHAnsi" w:hAnsiTheme="minorHAnsi" w:cstheme="minorHAnsi"/>
          <w:szCs w:val="24"/>
          <w:lang w:eastAsia="en-GB"/>
        </w:rPr>
        <w:t>also entails</w:t>
      </w:r>
      <w:r w:rsidR="009A01A7">
        <w:rPr>
          <w:rFonts w:asciiTheme="minorHAnsi" w:hAnsiTheme="minorHAnsi" w:cstheme="minorHAnsi"/>
          <w:szCs w:val="24"/>
          <w:lang w:eastAsia="en-GB"/>
        </w:rPr>
        <w:t xml:space="preserve"> higher-skilled jobs</w:t>
      </w:r>
      <w:r>
        <w:rPr>
          <w:rFonts w:asciiTheme="minorHAnsi" w:hAnsiTheme="minorHAnsi" w:cstheme="minorHAnsi"/>
          <w:szCs w:val="24"/>
          <w:lang w:eastAsia="en-GB"/>
        </w:rPr>
        <w:t>.</w:t>
      </w:r>
      <w:r w:rsidR="009A01A7">
        <w:rPr>
          <w:rFonts w:asciiTheme="minorHAnsi" w:hAnsiTheme="minorHAnsi" w:cstheme="minorHAnsi"/>
          <w:szCs w:val="24"/>
          <w:lang w:eastAsia="en-GB"/>
        </w:rPr>
        <w:t xml:space="preserve"> </w:t>
      </w:r>
      <w:r>
        <w:rPr>
          <w:rFonts w:asciiTheme="minorHAnsi" w:hAnsiTheme="minorHAnsi" w:cstheme="minorHAnsi"/>
          <w:szCs w:val="24"/>
          <w:lang w:eastAsia="en-GB"/>
        </w:rPr>
        <w:t xml:space="preserve"> This is at odds with</w:t>
      </w:r>
      <w:r w:rsidR="009C40E0">
        <w:rPr>
          <w:rFonts w:asciiTheme="minorHAnsi" w:hAnsiTheme="minorHAnsi" w:cstheme="minorHAnsi"/>
          <w:szCs w:val="24"/>
          <w:lang w:eastAsia="en-GB"/>
        </w:rPr>
        <w:t xml:space="preserve"> t</w:t>
      </w:r>
      <w:r w:rsidR="009A01A7">
        <w:rPr>
          <w:rFonts w:asciiTheme="minorHAnsi" w:hAnsiTheme="minorHAnsi" w:cstheme="minorHAnsi"/>
          <w:szCs w:val="24"/>
          <w:lang w:eastAsia="en-GB"/>
        </w:rPr>
        <w:t xml:space="preserve">he assumption that each job </w:t>
      </w:r>
      <w:r w:rsidR="009A01A7" w:rsidRPr="00AE243C">
        <w:rPr>
          <w:rFonts w:asciiTheme="minorHAnsi" w:hAnsiTheme="minorHAnsi" w:cstheme="minorHAnsi"/>
          <w:szCs w:val="24"/>
          <w:lang w:eastAsia="en-GB"/>
        </w:rPr>
        <w:t>requires 42.25 sq m on average</w:t>
      </w:r>
      <w:r w:rsidR="009C40E0">
        <w:rPr>
          <w:rFonts w:asciiTheme="minorHAnsi" w:hAnsiTheme="minorHAnsi" w:cstheme="minorHAnsi"/>
          <w:szCs w:val="24"/>
          <w:lang w:eastAsia="en-GB"/>
        </w:rPr>
        <w:t>, because this</w:t>
      </w:r>
      <w:r>
        <w:rPr>
          <w:rFonts w:asciiTheme="minorHAnsi" w:hAnsiTheme="minorHAnsi" w:cstheme="minorHAnsi"/>
          <w:szCs w:val="24"/>
          <w:lang w:eastAsia="en-GB"/>
        </w:rPr>
        <w:t xml:space="preserve"> wa</w:t>
      </w:r>
      <w:r w:rsidR="009A01A7">
        <w:rPr>
          <w:rFonts w:asciiTheme="minorHAnsi" w:hAnsiTheme="minorHAnsi" w:cstheme="minorHAnsi"/>
          <w:szCs w:val="24"/>
          <w:lang w:eastAsia="en-GB"/>
        </w:rPr>
        <w:t xml:space="preserve">s based </w:t>
      </w:r>
      <w:r>
        <w:rPr>
          <w:rFonts w:asciiTheme="minorHAnsi" w:hAnsiTheme="minorHAnsi" w:cstheme="minorHAnsi"/>
          <w:szCs w:val="24"/>
          <w:lang w:eastAsia="en-GB"/>
        </w:rPr>
        <w:t>on a weighting which included</w:t>
      </w:r>
      <w:r w:rsidR="009A01A7">
        <w:rPr>
          <w:rFonts w:asciiTheme="minorHAnsi" w:hAnsiTheme="minorHAnsi" w:cstheme="minorHAnsi"/>
          <w:szCs w:val="24"/>
          <w:lang w:eastAsia="en-GB"/>
        </w:rPr>
        <w:t xml:space="preserve"> 25% of warehouse-type jobs</w:t>
      </w:r>
      <w:r w:rsidR="009C40E0">
        <w:rPr>
          <w:rFonts w:asciiTheme="minorHAnsi" w:hAnsiTheme="minorHAnsi" w:cstheme="minorHAnsi"/>
          <w:szCs w:val="24"/>
          <w:lang w:eastAsia="en-GB"/>
        </w:rPr>
        <w:t>, as in the table below</w:t>
      </w:r>
      <w:r w:rsidR="009C40E0">
        <w:rPr>
          <w:rStyle w:val="FootnoteReference"/>
          <w:rFonts w:asciiTheme="minorHAnsi" w:hAnsiTheme="minorHAnsi" w:cstheme="minorHAnsi"/>
          <w:szCs w:val="24"/>
          <w:lang w:eastAsia="en-GB"/>
        </w:rPr>
        <w:footnoteReference w:id="11"/>
      </w:r>
      <w:r w:rsidR="009C40E0">
        <w:rPr>
          <w:rFonts w:asciiTheme="minorHAnsi" w:hAnsiTheme="minorHAnsi" w:cstheme="minorHAnsi"/>
          <w:szCs w:val="24"/>
          <w:lang w:eastAsia="en-GB"/>
        </w:rPr>
        <w:t>.</w:t>
      </w:r>
    </w:p>
    <w:tbl>
      <w:tblPr>
        <w:tblStyle w:val="TableGrid"/>
        <w:tblW w:w="0" w:type="auto"/>
        <w:tblInd w:w="108" w:type="dxa"/>
        <w:tblLook w:val="04A0" w:firstRow="1" w:lastRow="0" w:firstColumn="1" w:lastColumn="0" w:noHBand="0" w:noVBand="1"/>
      </w:tblPr>
      <w:tblGrid>
        <w:gridCol w:w="5529"/>
        <w:gridCol w:w="1417"/>
        <w:gridCol w:w="992"/>
      </w:tblGrid>
      <w:tr w:rsidR="009A01A7" w:rsidTr="003618D6">
        <w:trPr>
          <w:trHeight w:val="454"/>
        </w:trPr>
        <w:tc>
          <w:tcPr>
            <w:tcW w:w="5529" w:type="dxa"/>
            <w:vAlign w:val="center"/>
          </w:tcPr>
          <w:p w:rsidR="009A01A7" w:rsidRPr="008F60B9" w:rsidRDefault="009A01A7" w:rsidP="009C40E0">
            <w:pPr>
              <w:pStyle w:val="ListParagraph"/>
              <w:spacing w:after="0"/>
              <w:contextualSpacing w:val="0"/>
              <w:textAlignment w:val="baseline"/>
              <w:rPr>
                <w:rFonts w:asciiTheme="minorHAnsi" w:hAnsiTheme="minorHAnsi" w:cstheme="minorHAnsi"/>
                <w:b/>
                <w:sz w:val="24"/>
                <w:szCs w:val="24"/>
              </w:rPr>
            </w:pPr>
            <w:r w:rsidRPr="008F60B9">
              <w:rPr>
                <w:rFonts w:asciiTheme="minorHAnsi" w:hAnsiTheme="minorHAnsi" w:cstheme="minorHAnsi"/>
                <w:b/>
                <w:sz w:val="24"/>
                <w:szCs w:val="24"/>
              </w:rPr>
              <w:t>Sector</w:t>
            </w:r>
          </w:p>
        </w:tc>
        <w:tc>
          <w:tcPr>
            <w:tcW w:w="1417"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b/>
                <w:sz w:val="24"/>
                <w:szCs w:val="24"/>
              </w:rPr>
            </w:pPr>
            <w:r w:rsidRPr="008F60B9">
              <w:rPr>
                <w:rFonts w:asciiTheme="minorHAnsi" w:hAnsiTheme="minorHAnsi" w:cstheme="minorHAnsi"/>
                <w:b/>
                <w:sz w:val="24"/>
                <w:szCs w:val="24"/>
              </w:rPr>
              <w:t>Density in sq m/job</w:t>
            </w:r>
          </w:p>
        </w:tc>
        <w:tc>
          <w:tcPr>
            <w:tcW w:w="992" w:type="dxa"/>
          </w:tcPr>
          <w:p w:rsidR="009A01A7" w:rsidRPr="008F60B9" w:rsidRDefault="009A01A7" w:rsidP="009C40E0">
            <w:pPr>
              <w:pStyle w:val="ListParagraph"/>
              <w:spacing w:after="0"/>
              <w:contextualSpacing w:val="0"/>
              <w:jc w:val="center"/>
              <w:textAlignment w:val="baseline"/>
              <w:rPr>
                <w:rFonts w:asciiTheme="minorHAnsi" w:hAnsiTheme="minorHAnsi" w:cstheme="minorHAnsi"/>
                <w:b/>
                <w:szCs w:val="24"/>
              </w:rPr>
            </w:pPr>
            <w:r>
              <w:rPr>
                <w:rFonts w:asciiTheme="minorHAnsi" w:hAnsiTheme="minorHAnsi" w:cstheme="minorHAnsi"/>
                <w:b/>
                <w:szCs w:val="24"/>
              </w:rPr>
              <w:t>Use Class</w:t>
            </w:r>
          </w:p>
        </w:tc>
      </w:tr>
      <w:tr w:rsidR="009A01A7" w:rsidTr="00071085">
        <w:trPr>
          <w:trHeight w:val="397"/>
        </w:trPr>
        <w:tc>
          <w:tcPr>
            <w:tcW w:w="5529" w:type="dxa"/>
            <w:vAlign w:val="center"/>
          </w:tcPr>
          <w:p w:rsidR="009A01A7" w:rsidRPr="008F60B9" w:rsidRDefault="009A01A7" w:rsidP="00071085">
            <w:pPr>
              <w:pStyle w:val="ListParagraph"/>
              <w:spacing w:after="0"/>
              <w:contextualSpacing w:val="0"/>
              <w:textAlignment w:val="baseline"/>
              <w:rPr>
                <w:rFonts w:asciiTheme="minorHAnsi" w:hAnsiTheme="minorHAnsi" w:cstheme="minorHAnsi"/>
                <w:sz w:val="24"/>
                <w:szCs w:val="24"/>
              </w:rPr>
            </w:pPr>
            <w:r w:rsidRPr="008F60B9">
              <w:rPr>
                <w:rFonts w:asciiTheme="minorHAnsi" w:hAnsiTheme="minorHAnsi" w:cstheme="minorHAnsi"/>
                <w:sz w:val="24"/>
                <w:szCs w:val="24"/>
              </w:rPr>
              <w:t>Offices (aligned with Finance &amp; Professional Services)</w:t>
            </w:r>
          </w:p>
        </w:tc>
        <w:tc>
          <w:tcPr>
            <w:tcW w:w="1417" w:type="dxa"/>
            <w:vAlign w:val="center"/>
          </w:tcPr>
          <w:p w:rsidR="009A01A7" w:rsidRPr="008F60B9" w:rsidRDefault="009A01A7" w:rsidP="00071085">
            <w:pPr>
              <w:pStyle w:val="ListParagraph"/>
              <w:spacing w:after="0"/>
              <w:contextualSpacing w:val="0"/>
              <w:jc w:val="center"/>
              <w:textAlignment w:val="baseline"/>
              <w:rPr>
                <w:rFonts w:asciiTheme="minorHAnsi" w:hAnsiTheme="minorHAnsi" w:cstheme="minorHAnsi"/>
                <w:sz w:val="24"/>
                <w:szCs w:val="24"/>
              </w:rPr>
            </w:pPr>
            <w:r w:rsidRPr="008F60B9">
              <w:rPr>
                <w:rFonts w:asciiTheme="minorHAnsi" w:hAnsiTheme="minorHAnsi" w:cstheme="minorHAnsi"/>
                <w:sz w:val="24"/>
                <w:szCs w:val="24"/>
              </w:rPr>
              <w:t>16</w:t>
            </w:r>
          </w:p>
        </w:tc>
        <w:tc>
          <w:tcPr>
            <w:tcW w:w="992"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Cs w:val="24"/>
              </w:rPr>
            </w:pPr>
            <w:r>
              <w:rPr>
                <w:rFonts w:asciiTheme="minorHAnsi" w:hAnsiTheme="minorHAnsi" w:cstheme="minorHAnsi"/>
                <w:szCs w:val="24"/>
              </w:rPr>
              <w:t>A2</w:t>
            </w:r>
          </w:p>
        </w:tc>
      </w:tr>
      <w:tr w:rsidR="009A01A7" w:rsidTr="00071085">
        <w:trPr>
          <w:trHeight w:val="397"/>
        </w:trPr>
        <w:tc>
          <w:tcPr>
            <w:tcW w:w="5529" w:type="dxa"/>
            <w:vAlign w:val="center"/>
          </w:tcPr>
          <w:p w:rsidR="009A01A7" w:rsidRPr="008F60B9" w:rsidRDefault="009A01A7" w:rsidP="009C40E0">
            <w:pPr>
              <w:pStyle w:val="ListParagraph"/>
              <w:spacing w:after="0"/>
              <w:contextualSpacing w:val="0"/>
              <w:textAlignment w:val="baseline"/>
              <w:rPr>
                <w:rFonts w:asciiTheme="minorHAnsi" w:hAnsiTheme="minorHAnsi" w:cstheme="minorHAnsi"/>
                <w:sz w:val="24"/>
                <w:szCs w:val="24"/>
              </w:rPr>
            </w:pPr>
            <w:r w:rsidRPr="008F60B9">
              <w:rPr>
                <w:rFonts w:asciiTheme="minorHAnsi" w:hAnsiTheme="minorHAnsi" w:cstheme="minorHAnsi"/>
                <w:sz w:val="24"/>
                <w:szCs w:val="24"/>
              </w:rPr>
              <w:t>Light Industrial</w:t>
            </w:r>
          </w:p>
        </w:tc>
        <w:tc>
          <w:tcPr>
            <w:tcW w:w="1417"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 w:val="24"/>
                <w:szCs w:val="24"/>
              </w:rPr>
            </w:pPr>
            <w:r w:rsidRPr="008F60B9">
              <w:rPr>
                <w:rFonts w:asciiTheme="minorHAnsi" w:hAnsiTheme="minorHAnsi" w:cstheme="minorHAnsi"/>
                <w:sz w:val="24"/>
                <w:szCs w:val="24"/>
              </w:rPr>
              <w:t>47</w:t>
            </w:r>
          </w:p>
        </w:tc>
        <w:tc>
          <w:tcPr>
            <w:tcW w:w="992"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Cs w:val="24"/>
              </w:rPr>
            </w:pPr>
            <w:r>
              <w:rPr>
                <w:rFonts w:asciiTheme="minorHAnsi" w:hAnsiTheme="minorHAnsi" w:cstheme="minorHAnsi"/>
                <w:szCs w:val="24"/>
              </w:rPr>
              <w:t>B2</w:t>
            </w:r>
          </w:p>
        </w:tc>
      </w:tr>
      <w:tr w:rsidR="009A01A7" w:rsidTr="00071085">
        <w:trPr>
          <w:trHeight w:val="397"/>
        </w:trPr>
        <w:tc>
          <w:tcPr>
            <w:tcW w:w="5529" w:type="dxa"/>
            <w:vAlign w:val="center"/>
          </w:tcPr>
          <w:p w:rsidR="009A01A7" w:rsidRPr="008F60B9" w:rsidRDefault="009A01A7" w:rsidP="009C40E0">
            <w:pPr>
              <w:pStyle w:val="ListParagraph"/>
              <w:spacing w:after="0"/>
              <w:contextualSpacing w:val="0"/>
              <w:textAlignment w:val="baseline"/>
              <w:rPr>
                <w:rFonts w:asciiTheme="minorHAnsi" w:hAnsiTheme="minorHAnsi" w:cstheme="minorHAnsi"/>
                <w:sz w:val="24"/>
                <w:szCs w:val="24"/>
              </w:rPr>
            </w:pPr>
            <w:r w:rsidRPr="008F60B9">
              <w:rPr>
                <w:rFonts w:asciiTheme="minorHAnsi" w:hAnsiTheme="minorHAnsi" w:cstheme="minorHAnsi"/>
                <w:sz w:val="24"/>
                <w:szCs w:val="24"/>
              </w:rPr>
              <w:t>Industrial &amp; Manufacturing</w:t>
            </w:r>
          </w:p>
        </w:tc>
        <w:tc>
          <w:tcPr>
            <w:tcW w:w="1417"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 w:val="24"/>
                <w:szCs w:val="24"/>
              </w:rPr>
            </w:pPr>
            <w:r w:rsidRPr="008F60B9">
              <w:rPr>
                <w:rFonts w:asciiTheme="minorHAnsi" w:hAnsiTheme="minorHAnsi" w:cstheme="minorHAnsi"/>
                <w:sz w:val="24"/>
                <w:szCs w:val="24"/>
              </w:rPr>
              <w:t>36</w:t>
            </w:r>
          </w:p>
        </w:tc>
        <w:tc>
          <w:tcPr>
            <w:tcW w:w="992"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Cs w:val="24"/>
              </w:rPr>
            </w:pPr>
            <w:r>
              <w:rPr>
                <w:rFonts w:asciiTheme="minorHAnsi" w:hAnsiTheme="minorHAnsi" w:cstheme="minorHAnsi"/>
                <w:szCs w:val="24"/>
              </w:rPr>
              <w:t>B2</w:t>
            </w:r>
          </w:p>
        </w:tc>
      </w:tr>
      <w:tr w:rsidR="009A01A7" w:rsidTr="00071085">
        <w:trPr>
          <w:trHeight w:val="397"/>
        </w:trPr>
        <w:tc>
          <w:tcPr>
            <w:tcW w:w="5529" w:type="dxa"/>
            <w:vAlign w:val="center"/>
          </w:tcPr>
          <w:p w:rsidR="009A01A7" w:rsidRPr="008F60B9" w:rsidRDefault="009A01A7" w:rsidP="009C40E0">
            <w:pPr>
              <w:pStyle w:val="ListParagraph"/>
              <w:spacing w:after="0"/>
              <w:contextualSpacing w:val="0"/>
              <w:textAlignment w:val="baseline"/>
              <w:rPr>
                <w:rFonts w:asciiTheme="minorHAnsi" w:hAnsiTheme="minorHAnsi" w:cstheme="minorHAnsi"/>
                <w:sz w:val="24"/>
                <w:szCs w:val="24"/>
              </w:rPr>
            </w:pPr>
            <w:r w:rsidRPr="008F60B9">
              <w:rPr>
                <w:rFonts w:asciiTheme="minorHAnsi" w:hAnsiTheme="minorHAnsi" w:cstheme="minorHAnsi"/>
                <w:sz w:val="24"/>
                <w:szCs w:val="24"/>
              </w:rPr>
              <w:t>Storage &amp; Distribution</w:t>
            </w:r>
          </w:p>
        </w:tc>
        <w:tc>
          <w:tcPr>
            <w:tcW w:w="1417"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 w:val="24"/>
                <w:szCs w:val="24"/>
              </w:rPr>
            </w:pPr>
            <w:r w:rsidRPr="008F60B9">
              <w:rPr>
                <w:rFonts w:asciiTheme="minorHAnsi" w:hAnsiTheme="minorHAnsi" w:cstheme="minorHAnsi"/>
                <w:sz w:val="24"/>
                <w:szCs w:val="24"/>
              </w:rPr>
              <w:t>70</w:t>
            </w:r>
          </w:p>
        </w:tc>
        <w:tc>
          <w:tcPr>
            <w:tcW w:w="992"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Cs w:val="24"/>
              </w:rPr>
            </w:pPr>
            <w:r>
              <w:rPr>
                <w:rFonts w:asciiTheme="minorHAnsi" w:hAnsiTheme="minorHAnsi" w:cstheme="minorHAnsi"/>
                <w:szCs w:val="24"/>
              </w:rPr>
              <w:t>B8</w:t>
            </w:r>
          </w:p>
        </w:tc>
      </w:tr>
      <w:tr w:rsidR="009A01A7" w:rsidTr="00071085">
        <w:trPr>
          <w:trHeight w:val="397"/>
        </w:trPr>
        <w:tc>
          <w:tcPr>
            <w:tcW w:w="5529" w:type="dxa"/>
            <w:vAlign w:val="center"/>
          </w:tcPr>
          <w:p w:rsidR="009A01A7" w:rsidRPr="008F60B9" w:rsidRDefault="009A01A7" w:rsidP="009C40E0">
            <w:pPr>
              <w:pStyle w:val="ListParagraph"/>
              <w:spacing w:after="0"/>
              <w:contextualSpacing w:val="0"/>
              <w:textAlignment w:val="baseline"/>
              <w:rPr>
                <w:rFonts w:asciiTheme="minorHAnsi" w:hAnsiTheme="minorHAnsi" w:cstheme="minorHAnsi"/>
                <w:sz w:val="24"/>
                <w:szCs w:val="24"/>
              </w:rPr>
            </w:pPr>
            <w:r w:rsidRPr="008F60B9">
              <w:rPr>
                <w:rFonts w:asciiTheme="minorHAnsi" w:hAnsiTheme="minorHAnsi" w:cstheme="minorHAnsi"/>
                <w:sz w:val="24"/>
                <w:szCs w:val="24"/>
              </w:rPr>
              <w:t>Simple average</w:t>
            </w:r>
          </w:p>
        </w:tc>
        <w:tc>
          <w:tcPr>
            <w:tcW w:w="1417" w:type="dxa"/>
            <w:vAlign w:val="center"/>
          </w:tcPr>
          <w:p w:rsidR="009A01A7" w:rsidRPr="008F60B9" w:rsidRDefault="009A01A7" w:rsidP="009C40E0">
            <w:pPr>
              <w:pStyle w:val="ListParagraph"/>
              <w:spacing w:after="0"/>
              <w:contextualSpacing w:val="0"/>
              <w:jc w:val="center"/>
              <w:textAlignment w:val="baseline"/>
              <w:rPr>
                <w:rFonts w:asciiTheme="minorHAnsi" w:hAnsiTheme="minorHAnsi" w:cstheme="minorHAnsi"/>
                <w:sz w:val="24"/>
                <w:szCs w:val="24"/>
              </w:rPr>
            </w:pPr>
            <w:r w:rsidRPr="008F60B9">
              <w:rPr>
                <w:rFonts w:asciiTheme="minorHAnsi" w:hAnsiTheme="minorHAnsi" w:cstheme="minorHAnsi"/>
                <w:sz w:val="24"/>
                <w:szCs w:val="24"/>
              </w:rPr>
              <w:t>42.25</w:t>
            </w:r>
          </w:p>
        </w:tc>
        <w:tc>
          <w:tcPr>
            <w:tcW w:w="992" w:type="dxa"/>
          </w:tcPr>
          <w:p w:rsidR="009A01A7" w:rsidRPr="008F60B9" w:rsidRDefault="009A01A7" w:rsidP="009C40E0">
            <w:pPr>
              <w:pStyle w:val="ListParagraph"/>
              <w:spacing w:after="0"/>
              <w:contextualSpacing w:val="0"/>
              <w:jc w:val="center"/>
              <w:textAlignment w:val="baseline"/>
              <w:rPr>
                <w:rFonts w:asciiTheme="minorHAnsi" w:hAnsiTheme="minorHAnsi" w:cstheme="minorHAnsi"/>
                <w:szCs w:val="24"/>
              </w:rPr>
            </w:pPr>
          </w:p>
        </w:tc>
      </w:tr>
    </w:tbl>
    <w:p w:rsidR="009A01A7" w:rsidRDefault="009A01A7" w:rsidP="009A01A7">
      <w:pPr>
        <w:pStyle w:val="ListParagraph"/>
        <w:spacing w:after="0"/>
        <w:contextualSpacing w:val="0"/>
        <w:textAlignment w:val="baseline"/>
        <w:rPr>
          <w:rFonts w:asciiTheme="minorHAnsi" w:hAnsiTheme="minorHAnsi" w:cstheme="minorHAnsi"/>
          <w:szCs w:val="24"/>
          <w:lang w:eastAsia="en-GB"/>
        </w:rPr>
      </w:pPr>
    </w:p>
    <w:p w:rsidR="009A01A7" w:rsidRDefault="0037286A" w:rsidP="009C40E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sidRPr="0037286A">
        <w:rPr>
          <w:rFonts w:asciiTheme="minorHAnsi" w:hAnsiTheme="minorHAnsi" w:cstheme="minorHAnsi"/>
          <w:lang w:eastAsia="en-GB"/>
        </w:rPr>
        <w:t xml:space="preserve">As a result of </w:t>
      </w:r>
      <w:r>
        <w:rPr>
          <w:rFonts w:asciiTheme="minorHAnsi" w:hAnsiTheme="minorHAnsi" w:cstheme="minorHAnsi"/>
          <w:lang w:eastAsia="en-GB"/>
        </w:rPr>
        <w:t xml:space="preserve">our </w:t>
      </w:r>
      <w:r w:rsidRPr="0037286A">
        <w:rPr>
          <w:rFonts w:asciiTheme="minorHAnsi" w:hAnsiTheme="minorHAnsi" w:cstheme="minorHAnsi"/>
          <w:lang w:eastAsia="en-GB"/>
        </w:rPr>
        <w:t xml:space="preserve">querying </w:t>
      </w:r>
      <w:r>
        <w:rPr>
          <w:rFonts w:asciiTheme="minorHAnsi" w:hAnsiTheme="minorHAnsi" w:cstheme="minorHAnsi"/>
          <w:lang w:eastAsia="en-GB"/>
        </w:rPr>
        <w:t xml:space="preserve">of </w:t>
      </w:r>
      <w:r w:rsidRPr="0037286A">
        <w:rPr>
          <w:rFonts w:asciiTheme="minorHAnsi" w:hAnsiTheme="minorHAnsi" w:cstheme="minorHAnsi"/>
          <w:lang w:eastAsia="en-GB"/>
        </w:rPr>
        <w:t xml:space="preserve">the figures in Table 6 on page </w:t>
      </w:r>
      <w:r>
        <w:rPr>
          <w:rFonts w:asciiTheme="minorHAnsi" w:hAnsiTheme="minorHAnsi" w:cstheme="minorHAnsi"/>
          <w:lang w:eastAsia="en-GB"/>
        </w:rPr>
        <w:t xml:space="preserve">40 of the </w:t>
      </w:r>
      <w:r w:rsidRPr="009C40E0">
        <w:rPr>
          <w:rFonts w:asciiTheme="minorHAnsi" w:hAnsiTheme="minorHAnsi" w:cstheme="minorHAnsi"/>
          <w:szCs w:val="24"/>
          <w:lang w:eastAsia="en-GB"/>
        </w:rPr>
        <w:t>Preferred Scale and Distribution of Development document</w:t>
      </w:r>
      <w:r>
        <w:rPr>
          <w:rFonts w:asciiTheme="minorHAnsi" w:hAnsiTheme="minorHAnsi" w:cstheme="minorHAnsi"/>
          <w:szCs w:val="24"/>
          <w:lang w:eastAsia="en-GB"/>
        </w:rPr>
        <w:t>, Shropshire Council’s response of July 2019 to a Freedom of Information request revealed that the final figures in Table 6</w:t>
      </w:r>
      <w:r w:rsidR="004959BA">
        <w:rPr>
          <w:rFonts w:asciiTheme="minorHAnsi" w:hAnsiTheme="minorHAnsi" w:cstheme="minorHAnsi"/>
          <w:szCs w:val="24"/>
          <w:lang w:eastAsia="en-GB"/>
        </w:rPr>
        <w:t xml:space="preserve"> (which is reproduced below) </w:t>
      </w:r>
      <w:r>
        <w:rPr>
          <w:rFonts w:asciiTheme="minorHAnsi" w:hAnsiTheme="minorHAnsi" w:cstheme="minorHAnsi"/>
          <w:szCs w:val="24"/>
          <w:lang w:eastAsia="en-GB"/>
        </w:rPr>
        <w:t>had been wrong.</w:t>
      </w:r>
      <w:r w:rsidR="004959BA">
        <w:rPr>
          <w:rFonts w:asciiTheme="minorHAnsi" w:hAnsiTheme="minorHAnsi" w:cstheme="minorHAnsi"/>
          <w:szCs w:val="24"/>
          <w:lang w:eastAsia="en-GB"/>
        </w:rPr>
        <w:t xml:space="preserve">  Somebody within the Council had divided by 40% twice, instead of only</w:t>
      </w:r>
      <w:r w:rsidR="00071085">
        <w:rPr>
          <w:rFonts w:asciiTheme="minorHAnsi" w:hAnsiTheme="minorHAnsi" w:cstheme="minorHAnsi"/>
          <w:szCs w:val="24"/>
          <w:lang w:eastAsia="en-GB"/>
        </w:rPr>
        <w:t xml:space="preserve"> once (as set out in paragraph 5.30</w:t>
      </w:r>
      <w:r w:rsidR="004959BA">
        <w:rPr>
          <w:rFonts w:asciiTheme="minorHAnsi" w:hAnsiTheme="minorHAnsi" w:cstheme="minorHAnsi"/>
          <w:szCs w:val="24"/>
          <w:lang w:eastAsia="en-GB"/>
        </w:rPr>
        <w:t xml:space="preserve"> above) and the resultant incorrect figures</w:t>
      </w:r>
      <w:r w:rsidR="00121318">
        <w:rPr>
          <w:rFonts w:asciiTheme="minorHAnsi" w:hAnsiTheme="minorHAnsi" w:cstheme="minorHAnsi"/>
          <w:szCs w:val="24"/>
          <w:lang w:eastAsia="en-GB"/>
        </w:rPr>
        <w:t>, overstated by 250%,</w:t>
      </w:r>
      <w:r w:rsidR="004959BA">
        <w:rPr>
          <w:rFonts w:asciiTheme="minorHAnsi" w:hAnsiTheme="minorHAnsi" w:cstheme="minorHAnsi"/>
          <w:szCs w:val="24"/>
          <w:lang w:eastAsia="en-GB"/>
        </w:rPr>
        <w:t xml:space="preserve"> had been misleadingly included in the consultation document without having been properly checked.</w:t>
      </w:r>
    </w:p>
    <w:p w:rsidR="0037286A" w:rsidRDefault="0037286A" w:rsidP="0037286A">
      <w:pPr>
        <w:pStyle w:val="ListParagraph"/>
        <w:spacing w:before="240" w:line="300" w:lineRule="auto"/>
        <w:contextualSpacing w:val="0"/>
        <w:textAlignment w:val="baseline"/>
        <w:rPr>
          <w:rFonts w:asciiTheme="minorHAnsi" w:hAnsiTheme="minorHAnsi" w:cstheme="minorHAnsi"/>
          <w:lang w:eastAsia="en-GB"/>
        </w:rPr>
      </w:pPr>
      <w:r>
        <w:rPr>
          <w:noProof/>
          <w:lang w:eastAsia="en-GB"/>
        </w:rPr>
        <w:drawing>
          <wp:inline distT="0" distB="0" distL="0" distR="0" wp14:anchorId="29B00E96" wp14:editId="1A7B9116">
            <wp:extent cx="5988783" cy="1076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607" t="35560" r="23629" b="43427"/>
                    <a:stretch/>
                  </pic:blipFill>
                  <pic:spPr bwMode="auto">
                    <a:xfrm>
                      <a:off x="0" y="0"/>
                      <a:ext cx="5994763" cy="1077400"/>
                    </a:xfrm>
                    <a:prstGeom prst="rect">
                      <a:avLst/>
                    </a:prstGeom>
                    <a:ln>
                      <a:noFill/>
                    </a:ln>
                    <a:extLst>
                      <a:ext uri="{53640926-AAD7-44D8-BBD7-CCE9431645EC}">
                        <a14:shadowObscured xmlns:a14="http://schemas.microsoft.com/office/drawing/2010/main"/>
                      </a:ext>
                    </a:extLst>
                  </pic:spPr>
                </pic:pic>
              </a:graphicData>
            </a:graphic>
          </wp:inline>
        </w:drawing>
      </w:r>
    </w:p>
    <w:p w:rsidR="00121318" w:rsidRPr="0037286A" w:rsidRDefault="00121318" w:rsidP="0012131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correct analysis of the figures that should have been shown in Table 6, as set out in the answer to the FoI request, is reproduced below.  The figure of 115 Ha described above as Total Employment Floorspace Need was actually the overall Net Land Requirement (i.e. the Employment Land Requirement as above).</w:t>
      </w:r>
    </w:p>
    <w:p w:rsidR="009A01A7" w:rsidRDefault="009A01A7" w:rsidP="00121318">
      <w:pPr>
        <w:pStyle w:val="ListParagraph"/>
        <w:spacing w:before="240" w:line="300" w:lineRule="auto"/>
        <w:contextualSpacing w:val="0"/>
        <w:textAlignment w:val="baseline"/>
        <w:rPr>
          <w:rFonts w:asciiTheme="minorHAnsi" w:hAnsiTheme="minorHAnsi" w:cstheme="minorHAnsi"/>
          <w:lang w:eastAsia="en-GB"/>
        </w:rPr>
      </w:pPr>
      <w:r w:rsidRPr="00AA2F9B">
        <w:rPr>
          <w:noProof/>
          <w:bdr w:val="single" w:sz="18" w:space="0" w:color="auto"/>
          <w:lang w:eastAsia="en-GB"/>
        </w:rPr>
        <w:drawing>
          <wp:inline distT="0" distB="0" distL="0" distR="0" wp14:anchorId="2D69DF89" wp14:editId="51B14D01">
            <wp:extent cx="5983333" cy="3981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036" t="16808" r="10321" b="16192"/>
                    <a:stretch/>
                  </pic:blipFill>
                  <pic:spPr bwMode="auto">
                    <a:xfrm>
                      <a:off x="0" y="0"/>
                      <a:ext cx="5994585" cy="3988937"/>
                    </a:xfrm>
                    <a:prstGeom prst="rect">
                      <a:avLst/>
                    </a:prstGeom>
                    <a:ln w="19050">
                      <a:noFill/>
                    </a:ln>
                    <a:extLst>
                      <a:ext uri="{53640926-AAD7-44D8-BBD7-CCE9431645EC}">
                        <a14:shadowObscured xmlns:a14="http://schemas.microsoft.com/office/drawing/2010/main"/>
                      </a:ext>
                    </a:extLst>
                  </pic:spPr>
                </pic:pic>
              </a:graphicData>
            </a:graphic>
          </wp:inline>
        </w:drawing>
      </w:r>
    </w:p>
    <w:p w:rsidR="00121318" w:rsidRDefault="00121318" w:rsidP="0012131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detailed figures within the table immediately above (i.e</w:t>
      </w:r>
      <w:r w:rsidR="002F29CF">
        <w:rPr>
          <w:rFonts w:asciiTheme="minorHAnsi" w:hAnsiTheme="minorHAnsi" w:cstheme="minorHAnsi"/>
          <w:lang w:eastAsia="en-GB"/>
        </w:rPr>
        <w:t>.</w:t>
      </w:r>
      <w:r>
        <w:rPr>
          <w:rFonts w:asciiTheme="minorHAnsi" w:hAnsiTheme="minorHAnsi" w:cstheme="minorHAnsi"/>
          <w:lang w:eastAsia="en-GB"/>
        </w:rPr>
        <w:t xml:space="preserve"> the Productivity Growth Scenario) were derived from the Oxford Economics Productivity Growth </w:t>
      </w:r>
      <w:r w:rsidR="001D47F6">
        <w:rPr>
          <w:rFonts w:asciiTheme="minorHAnsi" w:hAnsiTheme="minorHAnsi" w:cstheme="minorHAnsi"/>
          <w:lang w:eastAsia="en-GB"/>
        </w:rPr>
        <w:t>Forecast</w:t>
      </w:r>
      <w:r w:rsidR="002F29CF">
        <w:rPr>
          <w:rFonts w:asciiTheme="minorHAnsi" w:hAnsiTheme="minorHAnsi" w:cstheme="minorHAnsi"/>
          <w:lang w:eastAsia="en-GB"/>
        </w:rPr>
        <w:t xml:space="preserve"> </w:t>
      </w:r>
      <w:r>
        <w:rPr>
          <w:rFonts w:asciiTheme="minorHAnsi" w:hAnsiTheme="minorHAnsi" w:cstheme="minorHAnsi"/>
          <w:lang w:eastAsia="en-GB"/>
        </w:rPr>
        <w:lastRenderedPageBreak/>
        <w:t>spreadsheet</w:t>
      </w:r>
      <w:r w:rsidR="00D171A0">
        <w:rPr>
          <w:rFonts w:asciiTheme="minorHAnsi" w:hAnsiTheme="minorHAnsi" w:cstheme="minorHAnsi"/>
          <w:lang w:eastAsia="en-GB"/>
        </w:rPr>
        <w:t>,</w:t>
      </w:r>
      <w:r>
        <w:rPr>
          <w:rFonts w:asciiTheme="minorHAnsi" w:hAnsiTheme="minorHAnsi" w:cstheme="minorHAnsi"/>
          <w:lang w:eastAsia="en-GB"/>
        </w:rPr>
        <w:t xml:space="preserve"> within the Evidence Base</w:t>
      </w:r>
      <w:r>
        <w:rPr>
          <w:rStyle w:val="FootnoteReference"/>
          <w:rFonts w:asciiTheme="minorHAnsi" w:hAnsiTheme="minorHAnsi" w:cstheme="minorHAnsi"/>
          <w:lang w:eastAsia="en-GB"/>
        </w:rPr>
        <w:footnoteReference w:id="12"/>
      </w:r>
      <w:r>
        <w:rPr>
          <w:rFonts w:asciiTheme="minorHAnsi" w:hAnsiTheme="minorHAnsi" w:cstheme="minorHAnsi"/>
          <w:lang w:eastAsia="en-GB"/>
        </w:rPr>
        <w:t>.</w:t>
      </w:r>
      <w:r w:rsidR="002F29CF">
        <w:rPr>
          <w:rFonts w:asciiTheme="minorHAnsi" w:hAnsiTheme="minorHAnsi" w:cstheme="minorHAnsi"/>
          <w:lang w:eastAsia="en-GB"/>
        </w:rPr>
        <w:t xml:space="preserve">  This Oxford Economics work was also a foundation of the Economic Growth Strategy itself</w:t>
      </w:r>
      <w:r w:rsidR="00D171A0">
        <w:rPr>
          <w:rStyle w:val="FootnoteReference"/>
          <w:rFonts w:asciiTheme="minorHAnsi" w:hAnsiTheme="minorHAnsi" w:cstheme="minorHAnsi"/>
          <w:lang w:eastAsia="en-GB"/>
        </w:rPr>
        <w:footnoteReference w:id="13"/>
      </w:r>
      <w:r w:rsidR="00D171A0">
        <w:rPr>
          <w:rFonts w:asciiTheme="minorHAnsi" w:hAnsiTheme="minorHAnsi" w:cstheme="minorHAnsi"/>
          <w:lang w:eastAsia="en-GB"/>
        </w:rPr>
        <w:t>.</w:t>
      </w:r>
    </w:p>
    <w:p w:rsidR="00D171A0" w:rsidRDefault="00D171A0" w:rsidP="0012131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point of this section on employment densi</w:t>
      </w:r>
      <w:r w:rsidR="002E234F">
        <w:rPr>
          <w:rFonts w:asciiTheme="minorHAnsi" w:hAnsiTheme="minorHAnsi" w:cstheme="minorHAnsi"/>
          <w:lang w:eastAsia="en-GB"/>
        </w:rPr>
        <w:t xml:space="preserve">ty is to demonstrate that, </w:t>
      </w:r>
      <w:r>
        <w:rPr>
          <w:rFonts w:asciiTheme="minorHAnsi" w:hAnsiTheme="minorHAnsi" w:cstheme="minorHAnsi"/>
          <w:lang w:eastAsia="en-GB"/>
        </w:rPr>
        <w:t>within the Council’s evidence base</w:t>
      </w:r>
      <w:r w:rsidR="002E234F">
        <w:rPr>
          <w:rFonts w:asciiTheme="minorHAnsi" w:hAnsiTheme="minorHAnsi" w:cstheme="minorHAnsi"/>
          <w:lang w:eastAsia="en-GB"/>
        </w:rPr>
        <w:t>,</w:t>
      </w:r>
      <w:r>
        <w:rPr>
          <w:rFonts w:asciiTheme="minorHAnsi" w:hAnsiTheme="minorHAnsi" w:cstheme="minorHAnsi"/>
          <w:lang w:eastAsia="en-GB"/>
        </w:rPr>
        <w:t xml:space="preserve"> </w:t>
      </w:r>
      <w:r w:rsidR="002E234F">
        <w:rPr>
          <w:rFonts w:asciiTheme="minorHAnsi" w:hAnsiTheme="minorHAnsi" w:cstheme="minorHAnsi"/>
          <w:lang w:eastAsia="en-GB"/>
        </w:rPr>
        <w:t xml:space="preserve">there is evidence </w:t>
      </w:r>
      <w:r>
        <w:rPr>
          <w:rFonts w:asciiTheme="minorHAnsi" w:hAnsiTheme="minorHAnsi" w:cstheme="minorHAnsi"/>
          <w:lang w:eastAsia="en-GB"/>
        </w:rPr>
        <w:t xml:space="preserve">that alternative </w:t>
      </w:r>
      <w:r w:rsidR="002E234F">
        <w:rPr>
          <w:rFonts w:asciiTheme="minorHAnsi" w:hAnsiTheme="minorHAnsi" w:cstheme="minorHAnsi"/>
          <w:lang w:eastAsia="en-GB"/>
        </w:rPr>
        <w:t xml:space="preserve">and more productive employment </w:t>
      </w:r>
      <w:r>
        <w:rPr>
          <w:rFonts w:asciiTheme="minorHAnsi" w:hAnsiTheme="minorHAnsi" w:cstheme="minorHAnsi"/>
          <w:lang w:eastAsia="en-GB"/>
        </w:rPr>
        <w:t>densities than the 42.25 sq m per job that has generally been adopted</w:t>
      </w:r>
      <w:r w:rsidR="002E234F">
        <w:rPr>
          <w:rFonts w:asciiTheme="minorHAnsi" w:hAnsiTheme="minorHAnsi" w:cstheme="minorHAnsi"/>
          <w:lang w:eastAsia="en-GB"/>
        </w:rPr>
        <w:t>, have been applied elsewhere within the Local Plan process.</w:t>
      </w:r>
    </w:p>
    <w:p w:rsidR="002E234F" w:rsidRPr="00121318" w:rsidRDefault="002E234F" w:rsidP="0012131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As can be seen from the figures </w:t>
      </w:r>
      <w:r w:rsidR="00F05A0F">
        <w:rPr>
          <w:rFonts w:asciiTheme="minorHAnsi" w:hAnsiTheme="minorHAnsi" w:cstheme="minorHAnsi"/>
          <w:lang w:eastAsia="en-GB"/>
        </w:rPr>
        <w:t>in the table at paragraph 5.38</w:t>
      </w:r>
      <w:r>
        <w:rPr>
          <w:rFonts w:asciiTheme="minorHAnsi" w:hAnsiTheme="minorHAnsi" w:cstheme="minorHAnsi"/>
          <w:lang w:eastAsia="en-GB"/>
        </w:rPr>
        <w:t xml:space="preserve"> above, the weighted employment density derived from the Oxford Economics Forecast is 31 sq m per job.</w:t>
      </w:r>
    </w:p>
    <w:p w:rsidR="00121318" w:rsidRPr="00121318" w:rsidRDefault="00121318" w:rsidP="003618D6">
      <w:pPr>
        <w:pStyle w:val="Heading3"/>
        <w:spacing w:before="240" w:after="120"/>
        <w:rPr>
          <w:rFonts w:asciiTheme="minorHAnsi" w:eastAsiaTheme="minorHAnsi" w:hAnsiTheme="minorHAnsi" w:cstheme="minorHAnsi"/>
          <w:b/>
          <w:i/>
          <w:color w:val="0070C0"/>
          <w:lang w:eastAsia="en-GB"/>
        </w:rPr>
      </w:pPr>
      <w:bookmarkStart w:id="16" w:name="_Toc65242903"/>
      <w:r w:rsidRPr="00121318">
        <w:rPr>
          <w:rFonts w:asciiTheme="minorHAnsi" w:eastAsiaTheme="minorHAnsi" w:hAnsiTheme="minorHAnsi" w:cstheme="minorHAnsi"/>
          <w:b/>
          <w:i/>
          <w:color w:val="0070C0"/>
          <w:lang w:eastAsia="en-GB"/>
        </w:rPr>
        <w:t>The equation between houses and jobs</w:t>
      </w:r>
      <w:bookmarkEnd w:id="16"/>
    </w:p>
    <w:p w:rsidR="00236342" w:rsidRDefault="0071171F"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By breaking down the housin</w:t>
      </w:r>
      <w:r w:rsidR="00D3640F">
        <w:rPr>
          <w:rFonts w:asciiTheme="minorHAnsi" w:hAnsiTheme="minorHAnsi" w:cstheme="minorHAnsi"/>
          <w:lang w:eastAsia="en-GB"/>
        </w:rPr>
        <w:t>g numbers</w:t>
      </w:r>
      <w:r w:rsidR="00236342">
        <w:rPr>
          <w:rFonts w:asciiTheme="minorHAnsi" w:hAnsiTheme="minorHAnsi" w:cstheme="minorHAnsi"/>
          <w:lang w:eastAsia="en-GB"/>
        </w:rPr>
        <w:t>, as above,</w:t>
      </w:r>
      <w:r w:rsidR="00D3640F">
        <w:rPr>
          <w:rFonts w:asciiTheme="minorHAnsi" w:hAnsiTheme="minorHAnsi" w:cstheme="minorHAnsi"/>
          <w:lang w:eastAsia="en-GB"/>
        </w:rPr>
        <w:t xml:space="preserve"> into the </w:t>
      </w:r>
      <w:r>
        <w:rPr>
          <w:rFonts w:asciiTheme="minorHAnsi" w:hAnsiTheme="minorHAnsi" w:cstheme="minorHAnsi"/>
          <w:lang w:eastAsia="en-GB"/>
        </w:rPr>
        <w:t>element</w:t>
      </w:r>
      <w:r w:rsidR="00236342">
        <w:rPr>
          <w:rFonts w:asciiTheme="minorHAnsi" w:hAnsiTheme="minorHAnsi" w:cstheme="minorHAnsi"/>
          <w:lang w:eastAsia="en-GB"/>
        </w:rPr>
        <w:t>s making them up it can be demonstrated</w:t>
      </w:r>
      <w:r>
        <w:rPr>
          <w:rFonts w:asciiTheme="minorHAnsi" w:hAnsiTheme="minorHAnsi" w:cstheme="minorHAnsi"/>
          <w:lang w:eastAsia="en-GB"/>
        </w:rPr>
        <w:t xml:space="preserve"> that </w:t>
      </w:r>
      <w:r w:rsidR="00236342">
        <w:rPr>
          <w:rFonts w:asciiTheme="minorHAnsi" w:hAnsiTheme="minorHAnsi" w:cstheme="minorHAnsi"/>
          <w:lang w:eastAsia="en-GB"/>
        </w:rPr>
        <w:t xml:space="preserve">elements of </w:t>
      </w:r>
      <w:r>
        <w:rPr>
          <w:rFonts w:asciiTheme="minorHAnsi" w:hAnsiTheme="minorHAnsi" w:cstheme="minorHAnsi"/>
          <w:lang w:eastAsia="en-GB"/>
        </w:rPr>
        <w:t xml:space="preserve">the Council’s </w:t>
      </w:r>
      <w:r w:rsidR="00236342">
        <w:rPr>
          <w:rFonts w:asciiTheme="minorHAnsi" w:hAnsiTheme="minorHAnsi" w:cstheme="minorHAnsi"/>
          <w:lang w:eastAsia="en-GB"/>
        </w:rPr>
        <w:t xml:space="preserve">calculations of </w:t>
      </w:r>
      <w:r>
        <w:rPr>
          <w:rFonts w:asciiTheme="minorHAnsi" w:hAnsiTheme="minorHAnsi" w:cstheme="minorHAnsi"/>
          <w:lang w:eastAsia="en-GB"/>
        </w:rPr>
        <w:t xml:space="preserve">‘balanced’ </w:t>
      </w:r>
      <w:r w:rsidR="00236342">
        <w:rPr>
          <w:rFonts w:asciiTheme="minorHAnsi" w:hAnsiTheme="minorHAnsi" w:cstheme="minorHAnsi"/>
          <w:lang w:eastAsia="en-GB"/>
        </w:rPr>
        <w:t xml:space="preserve">housing and employment </w:t>
      </w:r>
      <w:r>
        <w:rPr>
          <w:rFonts w:asciiTheme="minorHAnsi" w:hAnsiTheme="minorHAnsi" w:cstheme="minorHAnsi"/>
          <w:lang w:eastAsia="en-GB"/>
        </w:rPr>
        <w:t xml:space="preserve">growth </w:t>
      </w:r>
      <w:r w:rsidR="00236342">
        <w:rPr>
          <w:rFonts w:asciiTheme="minorHAnsi" w:hAnsiTheme="minorHAnsi" w:cstheme="minorHAnsi"/>
          <w:lang w:eastAsia="en-GB"/>
        </w:rPr>
        <w:t>are not founded on proportionate evidence.</w:t>
      </w:r>
    </w:p>
    <w:p w:rsidR="00A17D98" w:rsidRDefault="00A17D98" w:rsidP="00FC1FE5">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The relatively simplistic formula </w:t>
      </w:r>
      <w:r w:rsidRPr="00AE243C">
        <w:rPr>
          <w:rFonts w:asciiTheme="minorHAnsi" w:hAnsiTheme="minorHAnsi" w:cstheme="minorHAnsi"/>
          <w:szCs w:val="24"/>
          <w:lang w:eastAsia="en-GB"/>
        </w:rPr>
        <w:t>that each</w:t>
      </w:r>
      <w:r>
        <w:rPr>
          <w:rFonts w:asciiTheme="minorHAnsi" w:hAnsiTheme="minorHAnsi" w:cstheme="minorHAnsi"/>
          <w:szCs w:val="24"/>
          <w:lang w:eastAsia="en-GB"/>
        </w:rPr>
        <w:t xml:space="preserve"> house</w:t>
      </w:r>
      <w:r w:rsidRPr="00AE243C">
        <w:rPr>
          <w:rFonts w:asciiTheme="minorHAnsi" w:hAnsiTheme="minorHAnsi" w:cstheme="minorHAnsi"/>
          <w:szCs w:val="24"/>
          <w:lang w:eastAsia="en-GB"/>
        </w:rPr>
        <w:t xml:space="preserve"> produces one job</w:t>
      </w:r>
      <w:r>
        <w:rPr>
          <w:rFonts w:asciiTheme="minorHAnsi" w:hAnsiTheme="minorHAnsi" w:cstheme="minorHAnsi"/>
          <w:szCs w:val="24"/>
          <w:lang w:eastAsia="en-GB"/>
        </w:rPr>
        <w:t xml:space="preserve"> (see paragraph </w:t>
      </w:r>
      <w:r w:rsidR="00F05A0F" w:rsidRPr="00F05A0F">
        <w:rPr>
          <w:rFonts w:asciiTheme="minorHAnsi" w:hAnsiTheme="minorHAnsi" w:cstheme="minorHAnsi"/>
          <w:szCs w:val="24"/>
          <w:lang w:eastAsia="en-GB"/>
        </w:rPr>
        <w:t>5.30</w:t>
      </w:r>
      <w:r w:rsidR="004574C5">
        <w:rPr>
          <w:rFonts w:asciiTheme="minorHAnsi" w:hAnsiTheme="minorHAnsi" w:cstheme="minorHAnsi"/>
          <w:szCs w:val="24"/>
          <w:lang w:eastAsia="en-GB"/>
        </w:rPr>
        <w:t xml:space="preserve"> above) can be question</w:t>
      </w:r>
      <w:r>
        <w:rPr>
          <w:rFonts w:asciiTheme="minorHAnsi" w:hAnsiTheme="minorHAnsi" w:cstheme="minorHAnsi"/>
          <w:szCs w:val="24"/>
          <w:lang w:eastAsia="en-GB"/>
        </w:rPr>
        <w:t xml:space="preserve">ed on </w:t>
      </w:r>
      <w:r w:rsidR="00761AD9">
        <w:rPr>
          <w:rFonts w:asciiTheme="minorHAnsi" w:hAnsiTheme="minorHAnsi" w:cstheme="minorHAnsi"/>
          <w:szCs w:val="24"/>
          <w:lang w:eastAsia="en-GB"/>
        </w:rPr>
        <w:t>several</w:t>
      </w:r>
      <w:r>
        <w:rPr>
          <w:rFonts w:asciiTheme="minorHAnsi" w:hAnsiTheme="minorHAnsi" w:cstheme="minorHAnsi"/>
          <w:szCs w:val="24"/>
          <w:lang w:eastAsia="en-GB"/>
        </w:rPr>
        <w:t xml:space="preserve"> scores:</w:t>
      </w:r>
    </w:p>
    <w:p w:rsidR="00761AD9" w:rsidRDefault="00761AD9" w:rsidP="002427CD">
      <w:pPr>
        <w:pStyle w:val="ListParagraph"/>
        <w:numPr>
          <w:ilvl w:val="0"/>
          <w:numId w:val="11"/>
        </w:numPr>
        <w:spacing w:before="12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n</w:t>
      </w:r>
      <w:r w:rsidR="00A17D98" w:rsidRPr="00643249">
        <w:rPr>
          <w:rFonts w:asciiTheme="minorHAnsi" w:hAnsiTheme="minorHAnsi" w:cstheme="minorHAnsi"/>
          <w:szCs w:val="24"/>
          <w:lang w:eastAsia="en-GB"/>
        </w:rPr>
        <w:t>ot all occupants of new houses will have job</w:t>
      </w:r>
      <w:r w:rsidR="00A17D98">
        <w:rPr>
          <w:rFonts w:asciiTheme="minorHAnsi" w:hAnsiTheme="minorHAnsi" w:cstheme="minorHAnsi"/>
          <w:szCs w:val="24"/>
          <w:lang w:eastAsia="en-GB"/>
        </w:rPr>
        <w:t xml:space="preserve">s which require employment land; </w:t>
      </w:r>
    </w:p>
    <w:p w:rsidR="00761AD9" w:rsidRDefault="00761AD9" w:rsidP="002427CD">
      <w:pPr>
        <w:pStyle w:val="ListParagraph"/>
        <w:numPr>
          <w:ilvl w:val="0"/>
          <w:numId w:val="11"/>
        </w:numPr>
        <w:spacing w:before="12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s</w:t>
      </w:r>
      <w:r w:rsidR="00A17D98">
        <w:rPr>
          <w:rFonts w:asciiTheme="minorHAnsi" w:hAnsiTheme="minorHAnsi" w:cstheme="minorHAnsi"/>
          <w:szCs w:val="24"/>
          <w:lang w:eastAsia="en-GB"/>
        </w:rPr>
        <w:t xml:space="preserve">ome </w:t>
      </w:r>
      <w:r>
        <w:rPr>
          <w:rFonts w:asciiTheme="minorHAnsi" w:hAnsiTheme="minorHAnsi" w:cstheme="minorHAnsi"/>
          <w:szCs w:val="24"/>
          <w:lang w:eastAsia="en-GB"/>
        </w:rPr>
        <w:t xml:space="preserve">occupants </w:t>
      </w:r>
      <w:r w:rsidR="00A17D98">
        <w:rPr>
          <w:rFonts w:asciiTheme="minorHAnsi" w:hAnsiTheme="minorHAnsi" w:cstheme="minorHAnsi"/>
          <w:szCs w:val="24"/>
          <w:lang w:eastAsia="en-GB"/>
        </w:rPr>
        <w:t>will already have jobs;</w:t>
      </w:r>
    </w:p>
    <w:p w:rsidR="00761AD9" w:rsidRDefault="00761AD9" w:rsidP="002427CD">
      <w:pPr>
        <w:pStyle w:val="ListParagraph"/>
        <w:numPr>
          <w:ilvl w:val="0"/>
          <w:numId w:val="11"/>
        </w:numPr>
        <w:spacing w:before="12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m</w:t>
      </w:r>
      <w:r w:rsidR="00A17D98" w:rsidRPr="00643249">
        <w:rPr>
          <w:rFonts w:asciiTheme="minorHAnsi" w:hAnsiTheme="minorHAnsi" w:cstheme="minorHAnsi"/>
          <w:szCs w:val="24"/>
          <w:lang w:eastAsia="en-GB"/>
        </w:rPr>
        <w:t xml:space="preserve">any </w:t>
      </w:r>
      <w:r>
        <w:rPr>
          <w:rFonts w:asciiTheme="minorHAnsi" w:hAnsiTheme="minorHAnsi" w:cstheme="minorHAnsi"/>
          <w:szCs w:val="24"/>
          <w:lang w:eastAsia="en-GB"/>
        </w:rPr>
        <w:t xml:space="preserve">occupants </w:t>
      </w:r>
      <w:r w:rsidR="00A17D98" w:rsidRPr="00643249">
        <w:rPr>
          <w:rFonts w:asciiTheme="minorHAnsi" w:hAnsiTheme="minorHAnsi" w:cstheme="minorHAnsi"/>
          <w:szCs w:val="24"/>
          <w:lang w:eastAsia="en-GB"/>
        </w:rPr>
        <w:t>will be beyond working age</w:t>
      </w:r>
      <w:r>
        <w:rPr>
          <w:rFonts w:asciiTheme="minorHAnsi" w:hAnsiTheme="minorHAnsi" w:cstheme="minorHAnsi"/>
          <w:szCs w:val="24"/>
          <w:lang w:eastAsia="en-GB"/>
        </w:rPr>
        <w:t>;</w:t>
      </w:r>
      <w:r w:rsidR="00F05A0F">
        <w:rPr>
          <w:rFonts w:asciiTheme="minorHAnsi" w:hAnsiTheme="minorHAnsi" w:cstheme="minorHAnsi"/>
          <w:szCs w:val="24"/>
          <w:lang w:eastAsia="en-GB"/>
        </w:rPr>
        <w:t xml:space="preserve"> and</w:t>
      </w:r>
    </w:p>
    <w:p w:rsidR="00FC1FE5" w:rsidRDefault="00A17D98" w:rsidP="002427CD">
      <w:pPr>
        <w:pStyle w:val="ListParagraph"/>
        <w:numPr>
          <w:ilvl w:val="0"/>
          <w:numId w:val="11"/>
        </w:numPr>
        <w:spacing w:before="12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not all jobs require dedicated employment sites</w:t>
      </w:r>
      <w:r w:rsidRPr="00643249">
        <w:rPr>
          <w:rFonts w:asciiTheme="minorHAnsi" w:hAnsiTheme="minorHAnsi" w:cstheme="minorHAnsi"/>
          <w:szCs w:val="24"/>
          <w:lang w:eastAsia="en-GB"/>
        </w:rPr>
        <w:t xml:space="preserve">.  </w:t>
      </w:r>
    </w:p>
    <w:p w:rsidR="00FC1FE5" w:rsidRPr="00FC1FE5" w:rsidRDefault="00A17D98" w:rsidP="00FC1FE5">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sidRPr="00643249">
        <w:rPr>
          <w:rFonts w:asciiTheme="minorHAnsi" w:hAnsiTheme="minorHAnsi" w:cstheme="minorHAnsi"/>
          <w:szCs w:val="24"/>
          <w:lang w:eastAsia="en-GB"/>
        </w:rPr>
        <w:t xml:space="preserve">For instance, Mark Barrow has </w:t>
      </w:r>
      <w:r w:rsidRPr="00643249">
        <w:rPr>
          <w:rFonts w:asciiTheme="minorHAnsi" w:hAnsiTheme="minorHAnsi" w:cstheme="minorHAnsi"/>
          <w:szCs w:val="24"/>
        </w:rPr>
        <w:t xml:space="preserve">reported that </w:t>
      </w:r>
      <w:r w:rsidRPr="00643249">
        <w:rPr>
          <w:rFonts w:asciiTheme="minorHAnsi" w:hAnsiTheme="minorHAnsi" w:cstheme="minorHAnsi"/>
          <w:i/>
          <w:iCs/>
          <w:color w:val="000000"/>
          <w:szCs w:val="24"/>
        </w:rPr>
        <w:t>"</w:t>
      </w:r>
      <w:r w:rsidRPr="00643249">
        <w:rPr>
          <w:rFonts w:asciiTheme="minorHAnsi" w:hAnsiTheme="minorHAnsi" w:cstheme="minorHAnsi"/>
          <w:i/>
          <w:iCs/>
          <w:szCs w:val="24"/>
          <w:bdr w:val="none" w:sz="0" w:space="0" w:color="auto" w:frame="1"/>
          <w:shd w:val="clear" w:color="auto" w:fill="FFFFFF"/>
        </w:rPr>
        <w:t>our research with local agents has revealed that some new housing sites in Shrewsbury have been sold exclusively to affluent downsizers"</w:t>
      </w:r>
      <w:r>
        <w:rPr>
          <w:rFonts w:asciiTheme="minorHAnsi" w:hAnsiTheme="minorHAnsi" w:cstheme="minorHAnsi"/>
          <w:i/>
          <w:iCs/>
          <w:szCs w:val="24"/>
          <w:bdr w:val="none" w:sz="0" w:space="0" w:color="auto" w:frame="1"/>
          <w:shd w:val="clear" w:color="auto" w:fill="FFFFFF"/>
        </w:rPr>
        <w:t>.</w:t>
      </w:r>
      <w:r w:rsidRPr="00A17D98">
        <w:rPr>
          <w:rFonts w:asciiTheme="minorHAnsi" w:hAnsiTheme="minorHAnsi" w:cstheme="minorHAnsi"/>
          <w:iCs/>
          <w:szCs w:val="24"/>
          <w:bdr w:val="none" w:sz="0" w:space="0" w:color="auto" w:frame="1"/>
          <w:shd w:val="clear" w:color="auto" w:fill="FFFFFF"/>
        </w:rPr>
        <w:t xml:space="preserve">  </w:t>
      </w:r>
      <w:r w:rsidR="00882532">
        <w:rPr>
          <w:rFonts w:asciiTheme="minorHAnsi" w:hAnsiTheme="minorHAnsi" w:cstheme="minorHAnsi"/>
          <w:iCs/>
          <w:szCs w:val="24"/>
          <w:bdr w:val="none" w:sz="0" w:space="0" w:color="auto" w:frame="1"/>
          <w:shd w:val="clear" w:color="auto" w:fill="FFFFFF"/>
        </w:rPr>
        <w:t xml:space="preserve">This remark, in response to a question as to who it is who comes to live in the new houses being built, highlights the need for hard evidence of </w:t>
      </w:r>
      <w:r w:rsidR="00211531">
        <w:rPr>
          <w:rFonts w:asciiTheme="minorHAnsi" w:hAnsiTheme="minorHAnsi" w:cstheme="minorHAnsi"/>
          <w:iCs/>
          <w:szCs w:val="24"/>
          <w:bdr w:val="none" w:sz="0" w:space="0" w:color="auto" w:frame="1"/>
          <w:shd w:val="clear" w:color="auto" w:fill="FFFFFF"/>
        </w:rPr>
        <w:t>the employment status of occupiers of new houses.  That is the sort of information that might be available in the three years</w:t>
      </w:r>
      <w:r w:rsidR="00761AD9">
        <w:rPr>
          <w:rFonts w:asciiTheme="minorHAnsi" w:hAnsiTheme="minorHAnsi" w:cstheme="minorHAnsi"/>
          <w:iCs/>
          <w:szCs w:val="24"/>
          <w:bdr w:val="none" w:sz="0" w:space="0" w:color="auto" w:frame="1"/>
          <w:shd w:val="clear" w:color="auto" w:fill="FFFFFF"/>
        </w:rPr>
        <w:t>’</w:t>
      </w:r>
      <w:r w:rsidR="00211531">
        <w:rPr>
          <w:rFonts w:asciiTheme="minorHAnsi" w:hAnsiTheme="minorHAnsi" w:cstheme="minorHAnsi"/>
          <w:iCs/>
          <w:szCs w:val="24"/>
          <w:bdr w:val="none" w:sz="0" w:space="0" w:color="auto" w:frame="1"/>
          <w:shd w:val="clear" w:color="auto" w:fill="FFFFFF"/>
        </w:rPr>
        <w:t xml:space="preserve"> worth of missing Authority Monitoring Reports</w:t>
      </w:r>
      <w:r w:rsidR="00761AD9">
        <w:rPr>
          <w:rFonts w:asciiTheme="minorHAnsi" w:hAnsiTheme="minorHAnsi" w:cstheme="minorHAnsi"/>
          <w:iCs/>
          <w:szCs w:val="24"/>
          <w:bdr w:val="none" w:sz="0" w:space="0" w:color="auto" w:frame="1"/>
          <w:shd w:val="clear" w:color="auto" w:fill="FFFFFF"/>
        </w:rPr>
        <w:t xml:space="preserve"> (see paragraph </w:t>
      </w:r>
      <w:r w:rsidR="00761AD9" w:rsidRPr="00F05A0F">
        <w:rPr>
          <w:rFonts w:asciiTheme="minorHAnsi" w:hAnsiTheme="minorHAnsi" w:cstheme="minorHAnsi"/>
          <w:iCs/>
          <w:szCs w:val="24"/>
          <w:bdr w:val="none" w:sz="0" w:space="0" w:color="auto" w:frame="1"/>
          <w:shd w:val="clear" w:color="auto" w:fill="FFFFFF"/>
        </w:rPr>
        <w:t>2.7</w:t>
      </w:r>
      <w:r w:rsidR="00761AD9">
        <w:rPr>
          <w:rFonts w:asciiTheme="minorHAnsi" w:hAnsiTheme="minorHAnsi" w:cstheme="minorHAnsi"/>
          <w:iCs/>
          <w:szCs w:val="24"/>
          <w:bdr w:val="none" w:sz="0" w:space="0" w:color="auto" w:frame="1"/>
          <w:shd w:val="clear" w:color="auto" w:fill="FFFFFF"/>
        </w:rPr>
        <w:t xml:space="preserve"> above).  </w:t>
      </w:r>
    </w:p>
    <w:p w:rsidR="00A17D98" w:rsidRPr="00FC1FE5" w:rsidRDefault="00A17D98" w:rsidP="00A17D98">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sidRPr="00A17D98">
        <w:rPr>
          <w:rFonts w:asciiTheme="minorHAnsi" w:hAnsiTheme="minorHAnsi" w:cstheme="minorHAnsi"/>
          <w:iCs/>
          <w:szCs w:val="24"/>
          <w:bdr w:val="none" w:sz="0" w:space="0" w:color="auto" w:frame="1"/>
          <w:shd w:val="clear" w:color="auto" w:fill="FFFFFF"/>
        </w:rPr>
        <w:t>I</w:t>
      </w:r>
      <w:r w:rsidR="00761AD9">
        <w:rPr>
          <w:rFonts w:asciiTheme="minorHAnsi" w:hAnsiTheme="minorHAnsi" w:cstheme="minorHAnsi"/>
          <w:iCs/>
          <w:szCs w:val="24"/>
          <w:bdr w:val="none" w:sz="0" w:space="0" w:color="auto" w:frame="1"/>
          <w:shd w:val="clear" w:color="auto" w:fill="FFFFFF"/>
        </w:rPr>
        <w:t>t doe</w:t>
      </w:r>
      <w:r w:rsidRPr="00643249">
        <w:rPr>
          <w:rFonts w:asciiTheme="minorHAnsi" w:hAnsiTheme="minorHAnsi" w:cstheme="minorHAnsi"/>
          <w:iCs/>
          <w:szCs w:val="24"/>
          <w:bdr w:val="none" w:sz="0" w:space="0" w:color="auto" w:frame="1"/>
          <w:shd w:val="clear" w:color="auto" w:fill="FFFFFF"/>
        </w:rPr>
        <w:t xml:space="preserve">s therefore </w:t>
      </w:r>
      <w:r w:rsidR="00761AD9">
        <w:rPr>
          <w:rFonts w:asciiTheme="minorHAnsi" w:hAnsiTheme="minorHAnsi" w:cstheme="minorHAnsi"/>
          <w:iCs/>
          <w:szCs w:val="24"/>
          <w:bdr w:val="none" w:sz="0" w:space="0" w:color="auto" w:frame="1"/>
          <w:shd w:val="clear" w:color="auto" w:fill="FFFFFF"/>
        </w:rPr>
        <w:t xml:space="preserve">seem </w:t>
      </w:r>
      <w:r w:rsidRPr="00643249">
        <w:rPr>
          <w:rFonts w:asciiTheme="minorHAnsi" w:hAnsiTheme="minorHAnsi" w:cstheme="minorHAnsi"/>
          <w:iCs/>
          <w:szCs w:val="24"/>
          <w:bdr w:val="none" w:sz="0" w:space="0" w:color="auto" w:frame="1"/>
          <w:shd w:val="clear" w:color="auto" w:fill="FFFFFF"/>
        </w:rPr>
        <w:t>likely that</w:t>
      </w:r>
      <w:r>
        <w:rPr>
          <w:rFonts w:asciiTheme="minorHAnsi" w:hAnsiTheme="minorHAnsi" w:cstheme="minorHAnsi"/>
          <w:i/>
          <w:iCs/>
          <w:szCs w:val="24"/>
          <w:bdr w:val="none" w:sz="0" w:space="0" w:color="auto" w:frame="1"/>
          <w:shd w:val="clear" w:color="auto" w:fill="FFFFFF"/>
        </w:rPr>
        <w:t xml:space="preserve"> </w:t>
      </w:r>
      <w:r w:rsidRPr="00AE243C">
        <w:rPr>
          <w:rFonts w:asciiTheme="minorHAnsi" w:hAnsiTheme="minorHAnsi" w:cstheme="minorHAnsi"/>
          <w:szCs w:val="24"/>
          <w:lang w:eastAsia="en-GB"/>
        </w:rPr>
        <w:t>each</w:t>
      </w:r>
      <w:r>
        <w:rPr>
          <w:rFonts w:asciiTheme="minorHAnsi" w:hAnsiTheme="minorHAnsi" w:cstheme="minorHAnsi"/>
          <w:szCs w:val="24"/>
          <w:lang w:eastAsia="en-GB"/>
        </w:rPr>
        <w:t xml:space="preserve"> house</w:t>
      </w:r>
      <w:r w:rsidRPr="00AE243C">
        <w:rPr>
          <w:rFonts w:asciiTheme="minorHAnsi" w:hAnsiTheme="minorHAnsi" w:cstheme="minorHAnsi"/>
          <w:szCs w:val="24"/>
          <w:lang w:eastAsia="en-GB"/>
        </w:rPr>
        <w:t xml:space="preserve"> </w:t>
      </w:r>
      <w:r>
        <w:rPr>
          <w:rFonts w:asciiTheme="minorHAnsi" w:hAnsiTheme="minorHAnsi" w:cstheme="minorHAnsi"/>
          <w:szCs w:val="24"/>
          <w:lang w:eastAsia="en-GB"/>
        </w:rPr>
        <w:t>will produce less than</w:t>
      </w:r>
      <w:r w:rsidRPr="00AE243C">
        <w:rPr>
          <w:rFonts w:asciiTheme="minorHAnsi" w:hAnsiTheme="minorHAnsi" w:cstheme="minorHAnsi"/>
          <w:szCs w:val="24"/>
          <w:lang w:eastAsia="en-GB"/>
        </w:rPr>
        <w:t xml:space="preserve"> one job</w:t>
      </w:r>
      <w:r>
        <w:rPr>
          <w:rFonts w:asciiTheme="minorHAnsi" w:hAnsiTheme="minorHAnsi" w:cstheme="minorHAnsi"/>
          <w:szCs w:val="24"/>
          <w:lang w:eastAsia="en-GB"/>
        </w:rPr>
        <w:t xml:space="preserve"> requ</w:t>
      </w:r>
      <w:r w:rsidR="00FC1FE5">
        <w:rPr>
          <w:rFonts w:asciiTheme="minorHAnsi" w:hAnsiTheme="minorHAnsi" w:cstheme="minorHAnsi"/>
          <w:szCs w:val="24"/>
          <w:lang w:eastAsia="en-GB"/>
        </w:rPr>
        <w:t>iring employment land.  This inevitably ought to decrease</w:t>
      </w:r>
      <w:r>
        <w:rPr>
          <w:rFonts w:asciiTheme="minorHAnsi" w:hAnsiTheme="minorHAnsi" w:cstheme="minorHAnsi"/>
          <w:szCs w:val="24"/>
          <w:lang w:eastAsia="en-GB"/>
        </w:rPr>
        <w:t xml:space="preserve"> the calculation of the requirement for employment land.</w:t>
      </w:r>
    </w:p>
    <w:p w:rsidR="00502B1B" w:rsidRPr="004574C5" w:rsidRDefault="0071171F" w:rsidP="004574C5">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In</w:t>
      </w:r>
      <w:r w:rsidR="00FC1FE5">
        <w:rPr>
          <w:rFonts w:asciiTheme="minorHAnsi" w:hAnsiTheme="minorHAnsi" w:cstheme="minorHAnsi"/>
          <w:lang w:eastAsia="en-GB"/>
        </w:rPr>
        <w:t xml:space="preserve"> our previous submissions we have attempted to put </w:t>
      </w:r>
      <w:r w:rsidR="00F05A0F">
        <w:rPr>
          <w:rFonts w:asciiTheme="minorHAnsi" w:hAnsiTheme="minorHAnsi" w:cstheme="minorHAnsi"/>
          <w:lang w:eastAsia="en-GB"/>
        </w:rPr>
        <w:t>into figures</w:t>
      </w:r>
      <w:r w:rsidR="00FC1FE5">
        <w:rPr>
          <w:rFonts w:asciiTheme="minorHAnsi" w:hAnsiTheme="minorHAnsi" w:cstheme="minorHAnsi"/>
          <w:lang w:eastAsia="en-GB"/>
        </w:rPr>
        <w:t xml:space="preserve"> </w:t>
      </w:r>
      <w:r w:rsidR="00F05A0F">
        <w:rPr>
          <w:rFonts w:asciiTheme="minorHAnsi" w:hAnsiTheme="minorHAnsi" w:cstheme="minorHAnsi"/>
          <w:lang w:eastAsia="en-GB"/>
        </w:rPr>
        <w:t xml:space="preserve">how </w:t>
      </w:r>
      <w:r w:rsidR="00FC1FE5">
        <w:rPr>
          <w:rFonts w:asciiTheme="minorHAnsi" w:hAnsiTheme="minorHAnsi" w:cstheme="minorHAnsi"/>
          <w:lang w:eastAsia="en-GB"/>
        </w:rPr>
        <w:t xml:space="preserve">the above considerations might affect the calculations.  Applying the several elements of the breakdown of the housing figures, as laid out in the housing numbers section above, we </w:t>
      </w:r>
      <w:r w:rsidR="00C532F4">
        <w:rPr>
          <w:rFonts w:asciiTheme="minorHAnsi" w:hAnsiTheme="minorHAnsi" w:cstheme="minorHAnsi"/>
          <w:lang w:eastAsia="en-GB"/>
        </w:rPr>
        <w:lastRenderedPageBreak/>
        <w:t xml:space="preserve">repeat </w:t>
      </w:r>
      <w:r w:rsidR="004574C5">
        <w:rPr>
          <w:rFonts w:asciiTheme="minorHAnsi" w:hAnsiTheme="minorHAnsi" w:cstheme="minorHAnsi"/>
          <w:lang w:eastAsia="en-GB"/>
        </w:rPr>
        <w:t>below the specimen calculation we set out in our response to the Regulation 18 Pre-Submission stage of consultation</w:t>
      </w:r>
      <w:r w:rsidR="00C532F4">
        <w:rPr>
          <w:rFonts w:asciiTheme="minorHAnsi" w:hAnsiTheme="minorHAnsi" w:cstheme="minorHAnsi"/>
          <w:lang w:eastAsia="en-GB"/>
        </w:rPr>
        <w:t>.</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134"/>
        <w:gridCol w:w="3365"/>
        <w:gridCol w:w="1487"/>
      </w:tblGrid>
      <w:tr w:rsidR="008E295B" w:rsidRPr="000D7B2D" w:rsidTr="001D3202">
        <w:trPr>
          <w:trHeight w:val="454"/>
        </w:trPr>
        <w:tc>
          <w:tcPr>
            <w:tcW w:w="3085" w:type="dxa"/>
            <w:shd w:val="clear" w:color="auto" w:fill="auto"/>
            <w:vAlign w:val="center"/>
          </w:tcPr>
          <w:p w:rsidR="008E295B" w:rsidRPr="00765F19" w:rsidRDefault="008E295B" w:rsidP="001D3202">
            <w:pPr>
              <w:spacing w:before="60" w:after="60" w:line="276" w:lineRule="auto"/>
              <w:rPr>
                <w:rFonts w:asciiTheme="minorHAnsi" w:hAnsiTheme="minorHAnsi" w:cstheme="minorHAnsi"/>
                <w:lang w:eastAsia="en-GB"/>
              </w:rPr>
            </w:pPr>
          </w:p>
        </w:tc>
        <w:tc>
          <w:tcPr>
            <w:tcW w:w="1134" w:type="dxa"/>
            <w:shd w:val="clear" w:color="auto" w:fill="auto"/>
            <w:noWrap/>
            <w:vAlign w:val="center"/>
          </w:tcPr>
          <w:p w:rsidR="008E295B" w:rsidRPr="00765F19" w:rsidRDefault="008E295B" w:rsidP="001D3202">
            <w:pPr>
              <w:spacing w:before="60" w:after="60" w:line="276" w:lineRule="auto"/>
              <w:jc w:val="right"/>
              <w:rPr>
                <w:rFonts w:asciiTheme="minorHAnsi" w:hAnsiTheme="minorHAnsi" w:cstheme="minorHAnsi"/>
                <w:b/>
                <w:lang w:eastAsia="en-GB"/>
              </w:rPr>
            </w:pPr>
            <w:r w:rsidRPr="00765F19">
              <w:rPr>
                <w:rFonts w:asciiTheme="minorHAnsi" w:hAnsiTheme="minorHAnsi" w:cstheme="minorHAnsi"/>
                <w:b/>
                <w:lang w:eastAsia="en-GB"/>
              </w:rPr>
              <w:t>Element</w:t>
            </w:r>
          </w:p>
        </w:tc>
        <w:tc>
          <w:tcPr>
            <w:tcW w:w="3365" w:type="dxa"/>
            <w:vAlign w:val="center"/>
          </w:tcPr>
          <w:p w:rsidR="008E295B" w:rsidRPr="00765F19" w:rsidRDefault="008E295B" w:rsidP="001D3202">
            <w:pPr>
              <w:spacing w:before="60" w:after="60" w:line="276" w:lineRule="auto"/>
              <w:jc w:val="center"/>
              <w:rPr>
                <w:rFonts w:asciiTheme="minorHAnsi" w:hAnsiTheme="minorHAnsi" w:cstheme="minorHAnsi"/>
                <w:b/>
                <w:lang w:eastAsia="en-GB"/>
              </w:rPr>
            </w:pPr>
            <w:r w:rsidRPr="00765F19">
              <w:rPr>
                <w:rFonts w:asciiTheme="minorHAnsi" w:hAnsiTheme="minorHAnsi" w:cstheme="minorHAnsi"/>
                <w:b/>
                <w:lang w:eastAsia="en-GB"/>
              </w:rPr>
              <w:t>Employment consideration</w:t>
            </w:r>
          </w:p>
        </w:tc>
        <w:tc>
          <w:tcPr>
            <w:tcW w:w="1487" w:type="dxa"/>
            <w:vAlign w:val="center"/>
          </w:tcPr>
          <w:p w:rsidR="008E295B" w:rsidRPr="00765F19" w:rsidRDefault="008E295B" w:rsidP="001D3202">
            <w:pPr>
              <w:spacing w:before="60" w:after="60" w:line="276" w:lineRule="auto"/>
              <w:jc w:val="right"/>
              <w:rPr>
                <w:rFonts w:asciiTheme="minorHAnsi" w:hAnsiTheme="minorHAnsi" w:cstheme="minorHAnsi"/>
                <w:b/>
                <w:lang w:eastAsia="en-GB"/>
              </w:rPr>
            </w:pPr>
            <w:r w:rsidRPr="00765F19">
              <w:rPr>
                <w:rFonts w:asciiTheme="minorHAnsi" w:hAnsiTheme="minorHAnsi" w:cstheme="minorHAnsi"/>
                <w:b/>
                <w:lang w:eastAsia="en-GB"/>
              </w:rPr>
              <w:t>Employment</w:t>
            </w:r>
          </w:p>
        </w:tc>
      </w:tr>
      <w:tr w:rsidR="008E295B" w:rsidRPr="000D7B2D" w:rsidTr="001D3202">
        <w:trPr>
          <w:trHeight w:val="454"/>
        </w:trPr>
        <w:tc>
          <w:tcPr>
            <w:tcW w:w="3085" w:type="dxa"/>
            <w:shd w:val="clear" w:color="auto" w:fill="auto"/>
            <w:vAlign w:val="center"/>
          </w:tcPr>
          <w:p w:rsidR="008E295B" w:rsidRPr="00765F19" w:rsidRDefault="008E295B" w:rsidP="001D3202">
            <w:pPr>
              <w:spacing w:before="60" w:after="60" w:line="276" w:lineRule="auto"/>
              <w:rPr>
                <w:rFonts w:asciiTheme="minorHAnsi" w:hAnsiTheme="minorHAnsi" w:cstheme="minorHAnsi"/>
                <w:lang w:eastAsia="en-GB"/>
              </w:rPr>
            </w:pPr>
            <w:r w:rsidRPr="00765F19">
              <w:rPr>
                <w:rFonts w:asciiTheme="minorHAnsi" w:hAnsiTheme="minorHAnsi" w:cstheme="minorHAnsi"/>
                <w:lang w:eastAsia="en-GB"/>
              </w:rPr>
              <w:t>From population change</w:t>
            </w:r>
          </w:p>
        </w:tc>
        <w:tc>
          <w:tcPr>
            <w:tcW w:w="1134" w:type="dxa"/>
            <w:shd w:val="clear" w:color="auto" w:fill="auto"/>
            <w:noWrap/>
            <w:vAlign w:val="center"/>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12,490</w:t>
            </w:r>
          </w:p>
        </w:tc>
        <w:tc>
          <w:tcPr>
            <w:tcW w:w="3365" w:type="dxa"/>
            <w:vAlign w:val="center"/>
          </w:tcPr>
          <w:p w:rsidR="008E295B" w:rsidRPr="00765F19" w:rsidRDefault="008E295B" w:rsidP="001D3202">
            <w:pPr>
              <w:spacing w:before="60" w:after="60" w:line="276" w:lineRule="auto"/>
              <w:rPr>
                <w:rFonts w:asciiTheme="minorHAnsi" w:hAnsiTheme="minorHAnsi" w:cstheme="minorHAnsi"/>
                <w:lang w:eastAsia="en-GB"/>
              </w:rPr>
            </w:pPr>
          </w:p>
        </w:tc>
        <w:tc>
          <w:tcPr>
            <w:tcW w:w="1487" w:type="dxa"/>
            <w:vAlign w:val="center"/>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12,490</w:t>
            </w:r>
          </w:p>
        </w:tc>
      </w:tr>
      <w:tr w:rsidR="008E295B" w:rsidRPr="000D7B2D" w:rsidTr="001D3202">
        <w:trPr>
          <w:trHeight w:val="454"/>
        </w:trPr>
        <w:tc>
          <w:tcPr>
            <w:tcW w:w="3085" w:type="dxa"/>
            <w:shd w:val="clear" w:color="auto" w:fill="auto"/>
            <w:vAlign w:val="center"/>
            <w:hideMark/>
          </w:tcPr>
          <w:p w:rsidR="008E295B" w:rsidRPr="00765F19" w:rsidRDefault="008E295B" w:rsidP="001D3202">
            <w:pPr>
              <w:spacing w:before="60" w:after="60" w:line="276" w:lineRule="auto"/>
              <w:rPr>
                <w:rFonts w:asciiTheme="minorHAnsi" w:hAnsiTheme="minorHAnsi" w:cstheme="minorHAnsi"/>
                <w:lang w:eastAsia="en-GB"/>
              </w:rPr>
            </w:pPr>
            <w:r w:rsidRPr="00765F19">
              <w:rPr>
                <w:rFonts w:asciiTheme="minorHAnsi" w:hAnsiTheme="minorHAnsi" w:cstheme="minorHAnsi"/>
                <w:lang w:eastAsia="en-GB"/>
              </w:rPr>
              <w:t>From reduction in average population per household</w:t>
            </w:r>
          </w:p>
        </w:tc>
        <w:tc>
          <w:tcPr>
            <w:tcW w:w="1134" w:type="dxa"/>
            <w:shd w:val="clear" w:color="auto" w:fill="auto"/>
            <w:noWrap/>
            <w:vAlign w:val="center"/>
            <w:hideMark/>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8,256</w:t>
            </w:r>
          </w:p>
        </w:tc>
        <w:tc>
          <w:tcPr>
            <w:tcW w:w="3365" w:type="dxa"/>
            <w:vAlign w:val="center"/>
          </w:tcPr>
          <w:p w:rsidR="008E295B" w:rsidRPr="00765F19" w:rsidRDefault="008E295B" w:rsidP="001D3202">
            <w:pPr>
              <w:spacing w:before="60" w:after="60" w:line="276" w:lineRule="auto"/>
              <w:rPr>
                <w:rFonts w:asciiTheme="minorHAnsi" w:hAnsiTheme="minorHAnsi" w:cstheme="minorHAnsi"/>
                <w:lang w:eastAsia="en-GB"/>
              </w:rPr>
            </w:pPr>
            <w:r w:rsidRPr="00765F19">
              <w:rPr>
                <w:rFonts w:asciiTheme="minorHAnsi" w:hAnsiTheme="minorHAnsi" w:cstheme="minorHAnsi"/>
                <w:lang w:eastAsia="en-GB"/>
              </w:rPr>
              <w:t>This element already exists within the workforce</w:t>
            </w:r>
          </w:p>
        </w:tc>
        <w:tc>
          <w:tcPr>
            <w:tcW w:w="1487" w:type="dxa"/>
            <w:vAlign w:val="center"/>
          </w:tcPr>
          <w:p w:rsidR="008E295B" w:rsidRPr="00765F19" w:rsidRDefault="008E295B" w:rsidP="001D3202">
            <w:pPr>
              <w:spacing w:before="60" w:after="60" w:line="276" w:lineRule="auto"/>
              <w:jc w:val="right"/>
              <w:rPr>
                <w:rFonts w:asciiTheme="minorHAnsi" w:hAnsiTheme="minorHAnsi" w:cstheme="minorHAnsi"/>
                <w:lang w:eastAsia="en-GB"/>
              </w:rPr>
            </w:pPr>
            <w:r w:rsidRPr="00765F19">
              <w:rPr>
                <w:rFonts w:asciiTheme="minorHAnsi" w:hAnsiTheme="minorHAnsi" w:cstheme="minorHAnsi"/>
                <w:lang w:eastAsia="en-GB"/>
              </w:rPr>
              <w:t>nil</w:t>
            </w:r>
          </w:p>
        </w:tc>
      </w:tr>
      <w:tr w:rsidR="008E295B" w:rsidRPr="000D7B2D" w:rsidTr="001D3202">
        <w:trPr>
          <w:trHeight w:val="454"/>
        </w:trPr>
        <w:tc>
          <w:tcPr>
            <w:tcW w:w="3085" w:type="dxa"/>
            <w:shd w:val="clear" w:color="auto" w:fill="auto"/>
            <w:vAlign w:val="center"/>
            <w:hideMark/>
          </w:tcPr>
          <w:p w:rsidR="008E295B" w:rsidRPr="00765F19" w:rsidRDefault="008E295B" w:rsidP="001D3202">
            <w:pPr>
              <w:spacing w:before="60" w:after="60" w:line="276" w:lineRule="auto"/>
              <w:rPr>
                <w:rFonts w:asciiTheme="minorHAnsi" w:hAnsiTheme="minorHAnsi" w:cstheme="minorHAnsi"/>
                <w:lang w:eastAsia="en-GB"/>
              </w:rPr>
            </w:pPr>
            <w:r w:rsidRPr="00765F19">
              <w:rPr>
                <w:rFonts w:asciiTheme="minorHAnsi" w:hAnsiTheme="minorHAnsi" w:cstheme="minorHAnsi"/>
                <w:iCs/>
                <w:lang w:eastAsia="en-GB"/>
              </w:rPr>
              <w:t>From affordability ratio</w:t>
            </w:r>
          </w:p>
        </w:tc>
        <w:tc>
          <w:tcPr>
            <w:tcW w:w="1134" w:type="dxa"/>
            <w:tcBorders>
              <w:bottom w:val="single" w:sz="4" w:space="0" w:color="auto"/>
            </w:tcBorders>
            <w:shd w:val="clear" w:color="auto" w:fill="auto"/>
            <w:noWrap/>
            <w:vAlign w:val="center"/>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5,148</w:t>
            </w:r>
          </w:p>
        </w:tc>
        <w:tc>
          <w:tcPr>
            <w:tcW w:w="3365" w:type="dxa"/>
            <w:tcBorders>
              <w:bottom w:val="single" w:sz="4" w:space="0" w:color="auto"/>
            </w:tcBorders>
            <w:vAlign w:val="center"/>
          </w:tcPr>
          <w:p w:rsidR="008E295B" w:rsidRPr="00765F19" w:rsidRDefault="008E295B" w:rsidP="001D3202">
            <w:pPr>
              <w:spacing w:before="60" w:after="60" w:line="276" w:lineRule="auto"/>
              <w:rPr>
                <w:rFonts w:asciiTheme="minorHAnsi" w:hAnsiTheme="minorHAnsi" w:cstheme="minorHAnsi"/>
                <w:lang w:eastAsia="en-GB"/>
              </w:rPr>
            </w:pPr>
            <w:r>
              <w:rPr>
                <w:rFonts w:asciiTheme="minorHAnsi" w:hAnsiTheme="minorHAnsi" w:cstheme="minorHAnsi"/>
                <w:lang w:eastAsia="en-GB"/>
              </w:rPr>
              <w:t>Much, if not all, of t</w:t>
            </w:r>
            <w:r w:rsidRPr="00765F19">
              <w:rPr>
                <w:rFonts w:asciiTheme="minorHAnsi" w:hAnsiTheme="minorHAnsi" w:cstheme="minorHAnsi"/>
                <w:lang w:eastAsia="en-GB"/>
              </w:rPr>
              <w:t>his element already exists within the workforce</w:t>
            </w:r>
          </w:p>
        </w:tc>
        <w:tc>
          <w:tcPr>
            <w:tcW w:w="1487" w:type="dxa"/>
            <w:tcBorders>
              <w:bottom w:val="single" w:sz="4" w:space="0" w:color="auto"/>
            </w:tcBorders>
            <w:vAlign w:val="center"/>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2,574</w:t>
            </w:r>
          </w:p>
        </w:tc>
      </w:tr>
      <w:tr w:rsidR="008E295B" w:rsidRPr="000D7B2D" w:rsidTr="001D3202">
        <w:trPr>
          <w:trHeight w:val="454"/>
        </w:trPr>
        <w:tc>
          <w:tcPr>
            <w:tcW w:w="3085" w:type="dxa"/>
            <w:shd w:val="clear" w:color="auto" w:fill="auto"/>
            <w:vAlign w:val="center"/>
          </w:tcPr>
          <w:p w:rsidR="008E295B" w:rsidRPr="00765F19" w:rsidRDefault="008E295B" w:rsidP="001D3202">
            <w:pPr>
              <w:spacing w:before="60" w:after="60" w:line="276" w:lineRule="auto"/>
              <w:rPr>
                <w:rFonts w:asciiTheme="minorHAnsi" w:hAnsiTheme="minorHAnsi" w:cstheme="minorHAnsi"/>
                <w:iCs/>
                <w:lang w:eastAsia="en-GB"/>
              </w:rPr>
            </w:pPr>
            <w:r>
              <w:rPr>
                <w:rFonts w:asciiTheme="minorHAnsi" w:hAnsiTheme="minorHAnsi" w:cstheme="minorHAnsi"/>
                <w:iCs/>
                <w:lang w:eastAsia="en-GB"/>
              </w:rPr>
              <w:t>From ABCA houses</w:t>
            </w:r>
          </w:p>
        </w:tc>
        <w:tc>
          <w:tcPr>
            <w:tcW w:w="1134" w:type="dxa"/>
            <w:tcBorders>
              <w:bottom w:val="single" w:sz="4" w:space="0" w:color="auto"/>
            </w:tcBorders>
            <w:shd w:val="clear" w:color="auto" w:fill="auto"/>
            <w:noWrap/>
            <w:vAlign w:val="center"/>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1,500</w:t>
            </w:r>
          </w:p>
        </w:tc>
        <w:tc>
          <w:tcPr>
            <w:tcW w:w="3365" w:type="dxa"/>
            <w:tcBorders>
              <w:bottom w:val="single" w:sz="4" w:space="0" w:color="auto"/>
            </w:tcBorders>
            <w:vAlign w:val="center"/>
          </w:tcPr>
          <w:p w:rsidR="008E295B" w:rsidRDefault="008E295B" w:rsidP="001D3202">
            <w:pPr>
              <w:spacing w:before="60" w:after="60" w:line="276" w:lineRule="auto"/>
              <w:rPr>
                <w:rFonts w:asciiTheme="minorHAnsi" w:hAnsiTheme="minorHAnsi" w:cstheme="minorHAnsi"/>
                <w:lang w:eastAsia="en-GB"/>
              </w:rPr>
            </w:pPr>
          </w:p>
        </w:tc>
        <w:tc>
          <w:tcPr>
            <w:tcW w:w="1487" w:type="dxa"/>
            <w:tcBorders>
              <w:bottom w:val="single" w:sz="4" w:space="0" w:color="auto"/>
            </w:tcBorders>
            <w:vAlign w:val="center"/>
          </w:tcPr>
          <w:p w:rsidR="008E295B"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1,500</w:t>
            </w:r>
          </w:p>
        </w:tc>
      </w:tr>
      <w:tr w:rsidR="008E295B" w:rsidRPr="000D7B2D" w:rsidTr="001D3202">
        <w:trPr>
          <w:trHeight w:val="454"/>
        </w:trPr>
        <w:tc>
          <w:tcPr>
            <w:tcW w:w="3085" w:type="dxa"/>
            <w:shd w:val="clear" w:color="auto" w:fill="auto"/>
            <w:vAlign w:val="center"/>
          </w:tcPr>
          <w:p w:rsidR="008E295B" w:rsidRPr="00765F19" w:rsidRDefault="008E295B" w:rsidP="001D3202">
            <w:pPr>
              <w:spacing w:before="60" w:after="60" w:line="276" w:lineRule="auto"/>
              <w:rPr>
                <w:rFonts w:asciiTheme="minorHAnsi" w:hAnsiTheme="minorHAnsi" w:cstheme="minorHAnsi"/>
                <w:iCs/>
                <w:lang w:eastAsia="en-GB"/>
              </w:rPr>
            </w:pPr>
            <w:r>
              <w:rPr>
                <w:rFonts w:asciiTheme="minorHAnsi" w:hAnsiTheme="minorHAnsi" w:cstheme="minorHAnsi"/>
                <w:iCs/>
                <w:lang w:eastAsia="en-GB"/>
              </w:rPr>
              <w:t>From further</w:t>
            </w:r>
            <w:r w:rsidRPr="00765F19">
              <w:rPr>
                <w:rFonts w:asciiTheme="minorHAnsi" w:hAnsiTheme="minorHAnsi" w:cstheme="minorHAnsi"/>
                <w:iCs/>
                <w:lang w:eastAsia="en-GB"/>
              </w:rPr>
              <w:t xml:space="preserve"> ambition</w:t>
            </w:r>
          </w:p>
        </w:tc>
        <w:tc>
          <w:tcPr>
            <w:tcW w:w="1134" w:type="dxa"/>
            <w:tcBorders>
              <w:bottom w:val="single" w:sz="4" w:space="0" w:color="auto"/>
            </w:tcBorders>
            <w:shd w:val="clear" w:color="auto" w:fill="auto"/>
            <w:noWrap/>
            <w:vAlign w:val="center"/>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3,406</w:t>
            </w:r>
          </w:p>
        </w:tc>
        <w:tc>
          <w:tcPr>
            <w:tcW w:w="3365" w:type="dxa"/>
            <w:tcBorders>
              <w:bottom w:val="single" w:sz="4" w:space="0" w:color="auto"/>
            </w:tcBorders>
            <w:vAlign w:val="center"/>
          </w:tcPr>
          <w:p w:rsidR="008E295B" w:rsidRPr="00765F19" w:rsidRDefault="008E295B" w:rsidP="001D3202">
            <w:pPr>
              <w:spacing w:before="60" w:after="60" w:line="276" w:lineRule="auto"/>
              <w:rPr>
                <w:rFonts w:asciiTheme="minorHAnsi" w:hAnsiTheme="minorHAnsi" w:cstheme="minorHAnsi"/>
                <w:lang w:eastAsia="en-GB"/>
              </w:rPr>
            </w:pPr>
          </w:p>
        </w:tc>
        <w:tc>
          <w:tcPr>
            <w:tcW w:w="1487" w:type="dxa"/>
            <w:tcBorders>
              <w:bottom w:val="single" w:sz="4" w:space="0" w:color="auto"/>
            </w:tcBorders>
            <w:vAlign w:val="center"/>
          </w:tcPr>
          <w:p w:rsidR="008E295B" w:rsidRPr="00765F19" w:rsidRDefault="008E295B" w:rsidP="001D3202">
            <w:pPr>
              <w:spacing w:before="60" w:after="60" w:line="276" w:lineRule="auto"/>
              <w:jc w:val="right"/>
              <w:rPr>
                <w:rFonts w:asciiTheme="minorHAnsi" w:hAnsiTheme="minorHAnsi" w:cstheme="minorHAnsi"/>
                <w:lang w:eastAsia="en-GB"/>
              </w:rPr>
            </w:pPr>
            <w:r>
              <w:rPr>
                <w:rFonts w:asciiTheme="minorHAnsi" w:hAnsiTheme="minorHAnsi" w:cstheme="minorHAnsi"/>
                <w:lang w:eastAsia="en-GB"/>
              </w:rPr>
              <w:t>3,406</w:t>
            </w:r>
          </w:p>
        </w:tc>
      </w:tr>
      <w:tr w:rsidR="008E295B" w:rsidRPr="000D7B2D" w:rsidTr="001D3202">
        <w:trPr>
          <w:trHeight w:val="567"/>
        </w:trPr>
        <w:tc>
          <w:tcPr>
            <w:tcW w:w="3085" w:type="dxa"/>
            <w:shd w:val="clear" w:color="auto" w:fill="auto"/>
            <w:vAlign w:val="center"/>
            <w:hideMark/>
          </w:tcPr>
          <w:p w:rsidR="008E295B" w:rsidRPr="00765F19" w:rsidRDefault="008E295B" w:rsidP="001D3202">
            <w:pPr>
              <w:spacing w:before="60" w:after="60" w:line="276" w:lineRule="auto"/>
              <w:rPr>
                <w:rFonts w:asciiTheme="minorHAnsi" w:hAnsiTheme="minorHAnsi" w:cstheme="minorHAnsi"/>
                <w:b/>
                <w:bCs/>
                <w:lang w:eastAsia="en-GB"/>
              </w:rPr>
            </w:pPr>
            <w:r w:rsidRPr="00765F19">
              <w:rPr>
                <w:rFonts w:asciiTheme="minorHAnsi" w:hAnsiTheme="minorHAnsi" w:cstheme="minorHAnsi"/>
                <w:b/>
                <w:bCs/>
                <w:lang w:eastAsia="en-GB"/>
              </w:rPr>
              <w:t>Total</w:t>
            </w:r>
          </w:p>
        </w:tc>
        <w:tc>
          <w:tcPr>
            <w:tcW w:w="1134" w:type="dxa"/>
            <w:tcBorders>
              <w:top w:val="single" w:sz="12" w:space="0" w:color="auto"/>
              <w:bottom w:val="single" w:sz="12" w:space="0" w:color="auto"/>
            </w:tcBorders>
            <w:shd w:val="clear" w:color="auto" w:fill="auto"/>
            <w:noWrap/>
            <w:vAlign w:val="center"/>
          </w:tcPr>
          <w:p w:rsidR="008E295B" w:rsidRPr="00765F19" w:rsidRDefault="008E295B" w:rsidP="001D3202">
            <w:pPr>
              <w:spacing w:before="60" w:after="60" w:line="276" w:lineRule="auto"/>
              <w:jc w:val="right"/>
              <w:rPr>
                <w:rFonts w:asciiTheme="minorHAnsi" w:hAnsiTheme="minorHAnsi" w:cstheme="minorHAnsi"/>
                <w:b/>
                <w:bCs/>
                <w:lang w:eastAsia="en-GB"/>
              </w:rPr>
            </w:pPr>
            <w:r>
              <w:rPr>
                <w:rFonts w:asciiTheme="minorHAnsi" w:hAnsiTheme="minorHAnsi" w:cstheme="minorHAnsi"/>
                <w:b/>
                <w:bCs/>
                <w:lang w:eastAsia="en-GB"/>
              </w:rPr>
              <w:t>30,800</w:t>
            </w:r>
          </w:p>
        </w:tc>
        <w:tc>
          <w:tcPr>
            <w:tcW w:w="3365" w:type="dxa"/>
            <w:tcBorders>
              <w:top w:val="single" w:sz="4" w:space="0" w:color="auto"/>
              <w:bottom w:val="single" w:sz="4" w:space="0" w:color="auto"/>
            </w:tcBorders>
            <w:vAlign w:val="center"/>
          </w:tcPr>
          <w:p w:rsidR="008E295B" w:rsidRPr="00765F19" w:rsidRDefault="008E295B" w:rsidP="001D3202">
            <w:pPr>
              <w:spacing w:before="60" w:after="60" w:line="276" w:lineRule="auto"/>
              <w:rPr>
                <w:rFonts w:asciiTheme="minorHAnsi" w:hAnsiTheme="minorHAnsi" w:cstheme="minorHAnsi"/>
                <w:b/>
                <w:bCs/>
                <w:lang w:eastAsia="en-GB"/>
              </w:rPr>
            </w:pPr>
          </w:p>
        </w:tc>
        <w:tc>
          <w:tcPr>
            <w:tcW w:w="1487" w:type="dxa"/>
            <w:tcBorders>
              <w:top w:val="single" w:sz="12" w:space="0" w:color="auto"/>
              <w:bottom w:val="single" w:sz="12" w:space="0" w:color="auto"/>
            </w:tcBorders>
            <w:vAlign w:val="center"/>
          </w:tcPr>
          <w:p w:rsidR="008E295B" w:rsidRPr="00765F19" w:rsidRDefault="008E295B" w:rsidP="001D3202">
            <w:pPr>
              <w:spacing w:before="60" w:after="60" w:line="276" w:lineRule="auto"/>
              <w:jc w:val="right"/>
              <w:rPr>
                <w:rFonts w:asciiTheme="minorHAnsi" w:hAnsiTheme="minorHAnsi" w:cstheme="minorHAnsi"/>
                <w:b/>
                <w:bCs/>
                <w:lang w:eastAsia="en-GB"/>
              </w:rPr>
            </w:pPr>
            <w:r>
              <w:rPr>
                <w:rFonts w:asciiTheme="minorHAnsi" w:hAnsiTheme="minorHAnsi" w:cstheme="minorHAnsi"/>
                <w:b/>
                <w:bCs/>
                <w:lang w:eastAsia="en-GB"/>
              </w:rPr>
              <w:t>19,970</w:t>
            </w:r>
          </w:p>
        </w:tc>
      </w:tr>
    </w:tbl>
    <w:p w:rsidR="00E04C38" w:rsidRPr="007C416E" w:rsidRDefault="00E04C38" w:rsidP="00C532F4">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lang w:eastAsia="en-GB"/>
        </w:rPr>
        <w:t xml:space="preserve">If the employment density of 31 sq m per job is applied (as in paragraph </w:t>
      </w:r>
      <w:r w:rsidR="00F05A0F">
        <w:rPr>
          <w:rFonts w:asciiTheme="minorHAnsi" w:hAnsiTheme="minorHAnsi" w:cstheme="minorHAnsi"/>
          <w:lang w:eastAsia="en-GB"/>
        </w:rPr>
        <w:t>5.41</w:t>
      </w:r>
      <w:r>
        <w:rPr>
          <w:rFonts w:asciiTheme="minorHAnsi" w:hAnsiTheme="minorHAnsi" w:cstheme="minorHAnsi"/>
          <w:lang w:eastAsia="en-GB"/>
        </w:rPr>
        <w:t xml:space="preserve"> above) then 19,970 new jobs would require only 155 Ha of new employment land (</w:t>
      </w:r>
      <w:r w:rsidR="007C416E">
        <w:rPr>
          <w:rFonts w:asciiTheme="minorHAnsi" w:hAnsiTheme="minorHAnsi" w:cstheme="minorHAnsi"/>
          <w:szCs w:val="24"/>
          <w:lang w:eastAsia="en-GB"/>
        </w:rPr>
        <w:t>19,970 x 31</w:t>
      </w:r>
      <w:r w:rsidR="007C416E" w:rsidRPr="00AE243C">
        <w:rPr>
          <w:rFonts w:asciiTheme="minorHAnsi" w:hAnsiTheme="minorHAnsi" w:cstheme="minorHAnsi"/>
          <w:szCs w:val="24"/>
          <w:lang w:eastAsia="en-GB"/>
        </w:rPr>
        <w:t xml:space="preserve"> / 10,000 / 40% = </w:t>
      </w:r>
      <w:r w:rsidR="007C416E">
        <w:rPr>
          <w:rFonts w:asciiTheme="minorHAnsi" w:hAnsiTheme="minorHAnsi" w:cstheme="minorHAnsi"/>
          <w:szCs w:val="24"/>
          <w:lang w:eastAsia="en-GB"/>
        </w:rPr>
        <w:t>154.8 Ha, rounded to 155 Ha)</w:t>
      </w:r>
      <w:r>
        <w:rPr>
          <w:rFonts w:asciiTheme="minorHAnsi" w:hAnsiTheme="minorHAnsi" w:cstheme="minorHAnsi"/>
          <w:lang w:eastAsia="en-GB"/>
        </w:rPr>
        <w:t>.  This is o</w:t>
      </w:r>
      <w:r w:rsidR="007C416E">
        <w:rPr>
          <w:rFonts w:asciiTheme="minorHAnsi" w:hAnsiTheme="minorHAnsi" w:cstheme="minorHAnsi"/>
          <w:lang w:eastAsia="en-GB"/>
        </w:rPr>
        <w:t>nly 52</w:t>
      </w:r>
      <w:r>
        <w:rPr>
          <w:rFonts w:asciiTheme="minorHAnsi" w:hAnsiTheme="minorHAnsi" w:cstheme="minorHAnsi"/>
          <w:lang w:eastAsia="en-GB"/>
        </w:rPr>
        <w:t>% of</w:t>
      </w:r>
      <w:r w:rsidR="00C532F4">
        <w:rPr>
          <w:rFonts w:asciiTheme="minorHAnsi" w:hAnsiTheme="minorHAnsi" w:cstheme="minorHAnsi"/>
          <w:lang w:eastAsia="en-GB"/>
        </w:rPr>
        <w:t xml:space="preserve"> the stated guideline of around 300 Ha.</w:t>
      </w:r>
    </w:p>
    <w:p w:rsidR="007C416E" w:rsidRPr="004959BA" w:rsidRDefault="00C3392F" w:rsidP="003618D6">
      <w:pPr>
        <w:pStyle w:val="Heading3"/>
        <w:spacing w:before="240" w:after="120"/>
        <w:rPr>
          <w:rFonts w:asciiTheme="minorHAnsi" w:eastAsiaTheme="minorHAnsi" w:hAnsiTheme="minorHAnsi" w:cstheme="minorHAnsi"/>
          <w:b/>
          <w:i/>
          <w:color w:val="0070C0"/>
          <w:lang w:eastAsia="en-GB"/>
        </w:rPr>
      </w:pPr>
      <w:bookmarkStart w:id="17" w:name="_Toc65242904"/>
      <w:r>
        <w:rPr>
          <w:rFonts w:asciiTheme="minorHAnsi" w:eastAsiaTheme="minorHAnsi" w:hAnsiTheme="minorHAnsi" w:cstheme="minorHAnsi"/>
          <w:b/>
          <w:i/>
          <w:color w:val="0070C0"/>
          <w:lang w:eastAsia="en-GB"/>
        </w:rPr>
        <w:t>Other inconsistencies in the e</w:t>
      </w:r>
      <w:r w:rsidR="007C416E" w:rsidRPr="004959BA">
        <w:rPr>
          <w:rFonts w:asciiTheme="minorHAnsi" w:eastAsiaTheme="minorHAnsi" w:hAnsiTheme="minorHAnsi" w:cstheme="minorHAnsi"/>
          <w:b/>
          <w:i/>
          <w:color w:val="0070C0"/>
          <w:lang w:eastAsia="en-GB"/>
        </w:rPr>
        <w:t xml:space="preserve">mployment </w:t>
      </w:r>
      <w:r>
        <w:rPr>
          <w:rFonts w:asciiTheme="minorHAnsi" w:eastAsiaTheme="minorHAnsi" w:hAnsiTheme="minorHAnsi" w:cstheme="minorHAnsi"/>
          <w:b/>
          <w:i/>
          <w:color w:val="0070C0"/>
          <w:lang w:eastAsia="en-GB"/>
        </w:rPr>
        <w:t>figures</w:t>
      </w:r>
      <w:bookmarkEnd w:id="17"/>
    </w:p>
    <w:p w:rsidR="00E07EF0" w:rsidRDefault="00E07EF0" w:rsidP="00E07EF0">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As well as the above evidence that the need for employment land might be only 155 Ha rather than 300 Ha </w:t>
      </w:r>
      <w:r w:rsidR="00C3392F">
        <w:rPr>
          <w:rFonts w:asciiTheme="minorHAnsi" w:hAnsiTheme="minorHAnsi" w:cstheme="minorHAnsi"/>
          <w:szCs w:val="24"/>
          <w:lang w:eastAsia="en-GB"/>
        </w:rPr>
        <w:t xml:space="preserve">there are </w:t>
      </w:r>
      <w:r>
        <w:rPr>
          <w:rFonts w:asciiTheme="minorHAnsi" w:hAnsiTheme="minorHAnsi" w:cstheme="minorHAnsi"/>
          <w:szCs w:val="24"/>
          <w:lang w:eastAsia="en-GB"/>
        </w:rPr>
        <w:t xml:space="preserve">two other </w:t>
      </w:r>
      <w:r w:rsidR="00C3392F">
        <w:rPr>
          <w:rFonts w:asciiTheme="minorHAnsi" w:hAnsiTheme="minorHAnsi" w:cstheme="minorHAnsi"/>
          <w:szCs w:val="24"/>
          <w:lang w:eastAsia="en-GB"/>
        </w:rPr>
        <w:t xml:space="preserve">inconsistencies in the </w:t>
      </w:r>
      <w:r w:rsidR="00EB6CB2">
        <w:rPr>
          <w:rFonts w:asciiTheme="minorHAnsi" w:hAnsiTheme="minorHAnsi" w:cstheme="minorHAnsi"/>
          <w:szCs w:val="24"/>
          <w:lang w:eastAsia="en-GB"/>
        </w:rPr>
        <w:t>employment figures</w:t>
      </w:r>
      <w:r>
        <w:rPr>
          <w:rFonts w:asciiTheme="minorHAnsi" w:hAnsiTheme="minorHAnsi" w:cstheme="minorHAnsi"/>
          <w:szCs w:val="24"/>
          <w:lang w:eastAsia="en-GB"/>
        </w:rPr>
        <w:t>.</w:t>
      </w:r>
    </w:p>
    <w:p w:rsidR="00E20981" w:rsidRPr="004E1A00" w:rsidRDefault="00E07EF0" w:rsidP="004E1A00">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First, the</w:t>
      </w:r>
      <w:r w:rsidR="00EB6CB2">
        <w:rPr>
          <w:rFonts w:asciiTheme="minorHAnsi" w:hAnsiTheme="minorHAnsi" w:cstheme="minorHAnsi"/>
          <w:szCs w:val="24"/>
          <w:lang w:eastAsia="en-GB"/>
        </w:rPr>
        <w:t>re is the evidence</w:t>
      </w:r>
      <w:r>
        <w:rPr>
          <w:rFonts w:asciiTheme="minorHAnsi" w:hAnsiTheme="minorHAnsi" w:cstheme="minorHAnsi"/>
          <w:szCs w:val="24"/>
          <w:lang w:eastAsia="en-GB"/>
        </w:rPr>
        <w:t xml:space="preserve"> </w:t>
      </w:r>
      <w:r w:rsidR="00EB6CB2">
        <w:rPr>
          <w:rFonts w:asciiTheme="minorHAnsi" w:hAnsiTheme="minorHAnsi" w:cstheme="minorHAnsi"/>
          <w:szCs w:val="24"/>
          <w:lang w:eastAsia="en-GB"/>
        </w:rPr>
        <w:t xml:space="preserve">of the </w:t>
      </w:r>
      <w:r>
        <w:rPr>
          <w:rFonts w:asciiTheme="minorHAnsi" w:hAnsiTheme="minorHAnsi" w:cstheme="minorHAnsi"/>
          <w:szCs w:val="24"/>
          <w:lang w:eastAsia="en-GB"/>
        </w:rPr>
        <w:t xml:space="preserve">Economic Development Needs Assessment </w:t>
      </w:r>
      <w:r w:rsidR="00E20981">
        <w:rPr>
          <w:rFonts w:asciiTheme="minorHAnsi" w:hAnsiTheme="minorHAnsi" w:cstheme="minorHAnsi"/>
          <w:szCs w:val="24"/>
          <w:lang w:eastAsia="en-GB"/>
        </w:rPr>
        <w:t>(EDNA) dated December 2020, which has been newly published for this Regulation 19 consultation (it was listed as Key evidence at the Regulation 18 stage but was not produced for that earlier consultation).  Its conclusion (page 129, paragraph 10.2) is that</w:t>
      </w:r>
      <w:r w:rsidR="00E20981" w:rsidRPr="00E20981">
        <w:rPr>
          <w:rFonts w:asciiTheme="minorHAnsi" w:hAnsiTheme="minorHAnsi" w:cstheme="minorHAnsi"/>
          <w:szCs w:val="24"/>
          <w:lang w:eastAsia="en-GB"/>
        </w:rPr>
        <w:t xml:space="preserve"> </w:t>
      </w:r>
      <w:r w:rsidR="00E20981" w:rsidRPr="00E20981">
        <w:rPr>
          <w:rFonts w:asciiTheme="minorHAnsi" w:hAnsiTheme="minorHAnsi" w:cstheme="minorHAnsi"/>
          <w:i/>
          <w:szCs w:val="24"/>
          <w:lang w:eastAsia="en-GB"/>
        </w:rPr>
        <w:t>“it is recommended that Shropshire’s employment land OAN should comprise a range of between 132 ha to 234 ha between 2016 to 2038 (including flexibility)”</w:t>
      </w:r>
      <w:r w:rsidR="00E20981" w:rsidRPr="00E20981">
        <w:rPr>
          <w:rFonts w:asciiTheme="minorHAnsi" w:hAnsiTheme="minorHAnsi" w:cstheme="minorHAnsi"/>
          <w:szCs w:val="24"/>
          <w:lang w:eastAsia="en-GB"/>
        </w:rPr>
        <w:t xml:space="preserve">. </w:t>
      </w:r>
      <w:r w:rsidR="00E20981">
        <w:rPr>
          <w:rFonts w:asciiTheme="minorHAnsi" w:hAnsiTheme="minorHAnsi" w:cstheme="minorHAnsi"/>
          <w:szCs w:val="24"/>
          <w:lang w:eastAsia="en-GB"/>
        </w:rPr>
        <w:t xml:space="preserve"> This range is a long way short of the stated guideline of 300 Ha.</w:t>
      </w:r>
    </w:p>
    <w:p w:rsidR="00121276" w:rsidRPr="00D916E1" w:rsidRDefault="004E1A00" w:rsidP="004E1A00">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lang w:eastAsia="en-GB"/>
        </w:rPr>
        <w:t xml:space="preserve">Even more inconsistently, as demonstrated in our table 4.1 above, the guidelines for the individual settlements in </w:t>
      </w:r>
      <w:r w:rsidRPr="004E1A00">
        <w:rPr>
          <w:rFonts w:asciiTheme="minorHAnsi" w:hAnsiTheme="minorHAnsi" w:cstheme="minorHAnsi"/>
          <w:lang w:eastAsia="en-GB"/>
        </w:rPr>
        <w:t xml:space="preserve">policies S1-S21 </w:t>
      </w:r>
      <w:r>
        <w:rPr>
          <w:rFonts w:asciiTheme="minorHAnsi" w:hAnsiTheme="minorHAnsi" w:cstheme="minorHAnsi"/>
          <w:lang w:eastAsia="en-GB"/>
        </w:rPr>
        <w:t xml:space="preserve">actually adds up to 375 Ha.  This is wholly inconsistent with a stated overall guideline of around 300 </w:t>
      </w:r>
      <w:r w:rsidR="00D916E1">
        <w:rPr>
          <w:rFonts w:asciiTheme="minorHAnsi" w:hAnsiTheme="minorHAnsi" w:cstheme="minorHAnsi"/>
          <w:lang w:eastAsia="en-GB"/>
        </w:rPr>
        <w:t>Ha of new employment land.</w:t>
      </w:r>
    </w:p>
    <w:p w:rsidR="00D916E1" w:rsidRPr="00D916E1" w:rsidRDefault="00D916E1" w:rsidP="0018525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sidRPr="00D916E1">
        <w:rPr>
          <w:rFonts w:asciiTheme="minorHAnsi" w:hAnsiTheme="minorHAnsi" w:cstheme="minorHAnsi"/>
          <w:lang w:eastAsia="en-GB"/>
        </w:rPr>
        <w:t>Our overall case on employment land is that, when viewed in the round in this way, the high figures are not justified by proportionate evidence, are not justified by comparison with other evidence within the documentation, and are internally inconsis</w:t>
      </w:r>
      <w:r>
        <w:rPr>
          <w:rFonts w:asciiTheme="minorHAnsi" w:hAnsiTheme="minorHAnsi" w:cstheme="minorHAnsi"/>
          <w:lang w:eastAsia="en-GB"/>
        </w:rPr>
        <w:t>t</w:t>
      </w:r>
      <w:r w:rsidRPr="00D916E1">
        <w:rPr>
          <w:rFonts w:asciiTheme="minorHAnsi" w:hAnsiTheme="minorHAnsi" w:cstheme="minorHAnsi"/>
          <w:lang w:eastAsia="en-GB"/>
        </w:rPr>
        <w:t xml:space="preserve">ent.  That is why we </w:t>
      </w:r>
      <w:r w:rsidRPr="00D916E1">
        <w:rPr>
          <w:rFonts w:asciiTheme="minorHAnsi" w:hAnsiTheme="minorHAnsi" w:cstheme="minorHAnsi"/>
          <w:lang w:eastAsia="en-GB"/>
        </w:rPr>
        <w:lastRenderedPageBreak/>
        <w:t xml:space="preserve">have argued all along that the guidelines for </w:t>
      </w:r>
      <w:r>
        <w:rPr>
          <w:rFonts w:asciiTheme="minorHAnsi" w:hAnsiTheme="minorHAnsi" w:cstheme="minorHAnsi"/>
          <w:lang w:eastAsia="en-GB"/>
        </w:rPr>
        <w:t>employment</w:t>
      </w:r>
      <w:r w:rsidRPr="00D916E1">
        <w:rPr>
          <w:rFonts w:asciiTheme="minorHAnsi" w:hAnsiTheme="minorHAnsi" w:cstheme="minorHAnsi"/>
          <w:lang w:eastAsia="en-GB"/>
        </w:rPr>
        <w:t xml:space="preserve"> are unreasonably high, based on figures that are questionable.</w:t>
      </w:r>
    </w:p>
    <w:p w:rsidR="00D916E1" w:rsidRPr="00D916E1" w:rsidRDefault="00D916E1" w:rsidP="00D916E1">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We further argue that, taking account of the climate emergency (and the ecological emergency), the balance of evidence justifies providing only the </w:t>
      </w:r>
      <w:r w:rsidR="005458FB">
        <w:rPr>
          <w:rFonts w:asciiTheme="minorHAnsi" w:hAnsiTheme="minorHAnsi" w:cstheme="minorHAnsi"/>
          <w:lang w:eastAsia="en-GB"/>
        </w:rPr>
        <w:t>opti</w:t>
      </w:r>
      <w:r>
        <w:rPr>
          <w:rFonts w:asciiTheme="minorHAnsi" w:hAnsiTheme="minorHAnsi" w:cstheme="minorHAnsi"/>
          <w:lang w:eastAsia="en-GB"/>
        </w:rPr>
        <w:t>mum amount of employment land, rather than going for maximal growth.</w:t>
      </w:r>
    </w:p>
    <w:p w:rsidR="009C61AD" w:rsidRPr="00663DB5" w:rsidRDefault="000B38E2" w:rsidP="003618D6">
      <w:pPr>
        <w:pStyle w:val="Heading3"/>
        <w:spacing w:before="240" w:after="120"/>
        <w:rPr>
          <w:rFonts w:asciiTheme="minorHAnsi" w:eastAsiaTheme="minorHAnsi" w:hAnsiTheme="minorHAnsi" w:cstheme="minorHAnsi"/>
          <w:b/>
          <w:i/>
          <w:color w:val="0070C0"/>
          <w:lang w:eastAsia="en-GB"/>
        </w:rPr>
      </w:pPr>
      <w:bookmarkStart w:id="18" w:name="_Toc65242905"/>
      <w:r>
        <w:rPr>
          <w:rFonts w:asciiTheme="minorHAnsi" w:eastAsiaTheme="minorHAnsi" w:hAnsiTheme="minorHAnsi" w:cstheme="minorHAnsi"/>
          <w:b/>
          <w:i/>
          <w:color w:val="0070C0"/>
          <w:lang w:eastAsia="en-GB"/>
        </w:rPr>
        <w:t>Duty to C</w:t>
      </w:r>
      <w:r w:rsidR="009C61AD" w:rsidRPr="00663DB5">
        <w:rPr>
          <w:rFonts w:asciiTheme="minorHAnsi" w:eastAsiaTheme="minorHAnsi" w:hAnsiTheme="minorHAnsi" w:cstheme="minorHAnsi"/>
          <w:b/>
          <w:i/>
          <w:color w:val="0070C0"/>
          <w:lang w:eastAsia="en-GB"/>
        </w:rPr>
        <w:t>o</w:t>
      </w:r>
      <w:r>
        <w:rPr>
          <w:rFonts w:asciiTheme="minorHAnsi" w:eastAsiaTheme="minorHAnsi" w:hAnsiTheme="minorHAnsi" w:cstheme="minorHAnsi"/>
          <w:b/>
          <w:i/>
          <w:color w:val="0070C0"/>
          <w:lang w:eastAsia="en-GB"/>
        </w:rPr>
        <w:t>-</w:t>
      </w:r>
      <w:r w:rsidR="009C61AD" w:rsidRPr="00663DB5">
        <w:rPr>
          <w:rFonts w:asciiTheme="minorHAnsi" w:eastAsiaTheme="minorHAnsi" w:hAnsiTheme="minorHAnsi" w:cstheme="minorHAnsi"/>
          <w:b/>
          <w:i/>
          <w:color w:val="0070C0"/>
          <w:lang w:eastAsia="en-GB"/>
        </w:rPr>
        <w:t>operate</w:t>
      </w:r>
      <w:bookmarkEnd w:id="18"/>
    </w:p>
    <w:p w:rsidR="00663DB5" w:rsidRDefault="009C61AD" w:rsidP="004E1A0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sidRPr="004528F5">
        <w:rPr>
          <w:rFonts w:asciiTheme="minorHAnsi" w:hAnsiTheme="minorHAnsi" w:cstheme="minorHAnsi"/>
          <w:lang w:eastAsia="en-GB"/>
        </w:rPr>
        <w:t xml:space="preserve">The overall </w:t>
      </w:r>
      <w:r>
        <w:rPr>
          <w:rFonts w:asciiTheme="minorHAnsi" w:hAnsiTheme="minorHAnsi" w:cstheme="minorHAnsi"/>
          <w:lang w:eastAsia="en-GB"/>
        </w:rPr>
        <w:t>guideline of 30,800 dwellings</w:t>
      </w:r>
      <w:r w:rsidRPr="004528F5">
        <w:rPr>
          <w:rFonts w:asciiTheme="minorHAnsi" w:hAnsiTheme="minorHAnsi" w:cstheme="minorHAnsi"/>
          <w:lang w:eastAsia="en-GB"/>
        </w:rPr>
        <w:t xml:space="preserve"> includes 1,500 houses from the Association of Black Country Authorities</w:t>
      </w:r>
      <w:r w:rsidR="004E1A00">
        <w:rPr>
          <w:rFonts w:asciiTheme="minorHAnsi" w:hAnsiTheme="minorHAnsi" w:cstheme="minorHAnsi"/>
          <w:lang w:eastAsia="en-GB"/>
        </w:rPr>
        <w:t xml:space="preserve"> (ABCA</w:t>
      </w:r>
      <w:r w:rsidRPr="004528F5">
        <w:rPr>
          <w:rFonts w:asciiTheme="minorHAnsi" w:hAnsiTheme="minorHAnsi" w:cstheme="minorHAnsi"/>
          <w:lang w:eastAsia="en-GB"/>
        </w:rPr>
        <w:t xml:space="preserve">) </w:t>
      </w:r>
      <w:r w:rsidR="004E1A00">
        <w:rPr>
          <w:rFonts w:asciiTheme="minorHAnsi" w:hAnsiTheme="minorHAnsi" w:cstheme="minorHAnsi"/>
          <w:lang w:eastAsia="en-GB"/>
        </w:rPr>
        <w:t xml:space="preserve">and the overall guideline of around 300 Ha of employment land includes 30 Ha of employment land from ABCA.  </w:t>
      </w:r>
    </w:p>
    <w:p w:rsidR="00DF6545" w:rsidRDefault="00663DB5" w:rsidP="004E1A0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Duty to Co</w:t>
      </w:r>
      <w:r w:rsidR="000B38E2">
        <w:rPr>
          <w:rFonts w:asciiTheme="minorHAnsi" w:hAnsiTheme="minorHAnsi" w:cstheme="minorHAnsi"/>
          <w:lang w:eastAsia="en-GB"/>
        </w:rPr>
        <w:t>-</w:t>
      </w:r>
      <w:r>
        <w:rPr>
          <w:rFonts w:asciiTheme="minorHAnsi" w:hAnsiTheme="minorHAnsi" w:cstheme="minorHAnsi"/>
          <w:lang w:eastAsia="en-GB"/>
        </w:rPr>
        <w:t xml:space="preserve">operate between Shropshire and ABCA should not be isolated </w:t>
      </w:r>
      <w:r w:rsidR="00DF6545">
        <w:rPr>
          <w:rFonts w:asciiTheme="minorHAnsi" w:hAnsiTheme="minorHAnsi" w:cstheme="minorHAnsi"/>
          <w:lang w:eastAsia="en-GB"/>
        </w:rPr>
        <w:t>from the equivalent Duties to Co</w:t>
      </w:r>
      <w:r w:rsidR="000B38E2">
        <w:rPr>
          <w:rFonts w:asciiTheme="minorHAnsi" w:hAnsiTheme="minorHAnsi" w:cstheme="minorHAnsi"/>
          <w:lang w:eastAsia="en-GB"/>
        </w:rPr>
        <w:t>-</w:t>
      </w:r>
      <w:r w:rsidR="00DF6545">
        <w:rPr>
          <w:rFonts w:asciiTheme="minorHAnsi" w:hAnsiTheme="minorHAnsi" w:cstheme="minorHAnsi"/>
          <w:lang w:eastAsia="en-GB"/>
        </w:rPr>
        <w:t>operate of all local authorities within the West Midlands Combined Authority (WMCA)</w:t>
      </w:r>
      <w:r w:rsidR="001350C5">
        <w:rPr>
          <w:rFonts w:asciiTheme="minorHAnsi" w:hAnsiTheme="minorHAnsi" w:cstheme="minorHAnsi"/>
          <w:lang w:eastAsia="en-GB"/>
        </w:rPr>
        <w:t>.</w:t>
      </w:r>
    </w:p>
    <w:p w:rsidR="001350C5" w:rsidRDefault="00DF6545" w:rsidP="004E1A0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First, before any ABCA unmet need is accepted by Shropshire Council there should be a Statement of Common Ground between Shropshire Council and ABCA, which there does not appear to be</w:t>
      </w:r>
      <w:r>
        <w:rPr>
          <w:rStyle w:val="FootnoteReference"/>
          <w:rFonts w:asciiTheme="minorHAnsi" w:hAnsiTheme="minorHAnsi" w:cstheme="minorHAnsi"/>
          <w:lang w:eastAsia="en-GB"/>
        </w:rPr>
        <w:footnoteReference w:id="14"/>
      </w:r>
      <w:r>
        <w:rPr>
          <w:rFonts w:asciiTheme="minorHAnsi" w:hAnsiTheme="minorHAnsi" w:cstheme="minorHAnsi"/>
          <w:lang w:eastAsia="en-GB"/>
        </w:rPr>
        <w:t>.</w:t>
      </w:r>
    </w:p>
    <w:p w:rsidR="001350C5" w:rsidRDefault="00DF6545" w:rsidP="004E1A0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Second, </w:t>
      </w:r>
      <w:r w:rsidR="001350C5">
        <w:rPr>
          <w:rFonts w:asciiTheme="minorHAnsi" w:hAnsiTheme="minorHAnsi" w:cstheme="minorHAnsi"/>
          <w:lang w:eastAsia="en-GB"/>
        </w:rPr>
        <w:t xml:space="preserve">to ensure a proper Regional strategy, </w:t>
      </w:r>
      <w:r>
        <w:rPr>
          <w:rFonts w:asciiTheme="minorHAnsi" w:hAnsiTheme="minorHAnsi" w:cstheme="minorHAnsi"/>
          <w:lang w:eastAsia="en-GB"/>
        </w:rPr>
        <w:t>there should be Statement</w:t>
      </w:r>
      <w:r w:rsidR="001350C5">
        <w:rPr>
          <w:rFonts w:asciiTheme="minorHAnsi" w:hAnsiTheme="minorHAnsi" w:cstheme="minorHAnsi"/>
          <w:lang w:eastAsia="en-GB"/>
        </w:rPr>
        <w:t>s</w:t>
      </w:r>
      <w:r>
        <w:rPr>
          <w:rFonts w:asciiTheme="minorHAnsi" w:hAnsiTheme="minorHAnsi" w:cstheme="minorHAnsi"/>
          <w:lang w:eastAsia="en-GB"/>
        </w:rPr>
        <w:t xml:space="preserve"> of Common Ground for all local authorities within WMCA</w:t>
      </w:r>
      <w:r w:rsidR="001350C5">
        <w:rPr>
          <w:rFonts w:asciiTheme="minorHAnsi" w:hAnsiTheme="minorHAnsi" w:cstheme="minorHAnsi"/>
          <w:lang w:eastAsia="en-GB"/>
        </w:rPr>
        <w:t>.  Shropshire is an outlier geographically within the WMCA and within the West Midlands Green Belt, and should not be expected to take unmet need that is disproportionate to its geographical distance from ABCA, nor is disproportionate to what other local authorities are accepting under their own Duties to Co</w:t>
      </w:r>
      <w:r w:rsidR="000B38E2">
        <w:rPr>
          <w:rFonts w:asciiTheme="minorHAnsi" w:hAnsiTheme="minorHAnsi" w:cstheme="minorHAnsi"/>
          <w:lang w:eastAsia="en-GB"/>
        </w:rPr>
        <w:t>-</w:t>
      </w:r>
      <w:r w:rsidR="001350C5">
        <w:rPr>
          <w:rFonts w:asciiTheme="minorHAnsi" w:hAnsiTheme="minorHAnsi" w:cstheme="minorHAnsi"/>
          <w:lang w:eastAsia="en-GB"/>
        </w:rPr>
        <w:t>operate with ABCA.</w:t>
      </w:r>
    </w:p>
    <w:p w:rsidR="009C61AD" w:rsidRPr="009C61AD" w:rsidRDefault="001350C5" w:rsidP="004E1A0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In view of the lack of such evidence to justify accepting any ABCA need, and also because of the current stage of the ABCA plan, it is considered premature </w:t>
      </w:r>
      <w:r w:rsidR="00D916E1">
        <w:rPr>
          <w:rFonts w:asciiTheme="minorHAnsi" w:hAnsiTheme="minorHAnsi" w:cstheme="minorHAnsi"/>
          <w:lang w:eastAsia="en-GB"/>
        </w:rPr>
        <w:t xml:space="preserve">at this stage </w:t>
      </w:r>
      <w:r>
        <w:rPr>
          <w:rFonts w:asciiTheme="minorHAnsi" w:hAnsiTheme="minorHAnsi" w:cstheme="minorHAnsi"/>
          <w:lang w:eastAsia="en-GB"/>
        </w:rPr>
        <w:t xml:space="preserve">for Shropshire Council to accept any unmet need from ABCA, either for housing or </w:t>
      </w:r>
      <w:r w:rsidR="00D916E1">
        <w:rPr>
          <w:rFonts w:asciiTheme="minorHAnsi" w:hAnsiTheme="minorHAnsi" w:cstheme="minorHAnsi"/>
          <w:lang w:eastAsia="en-GB"/>
        </w:rPr>
        <w:t xml:space="preserve">for </w:t>
      </w:r>
      <w:r>
        <w:rPr>
          <w:rFonts w:asciiTheme="minorHAnsi" w:hAnsiTheme="minorHAnsi" w:cstheme="minorHAnsi"/>
          <w:lang w:eastAsia="en-GB"/>
        </w:rPr>
        <w:t>employment land</w:t>
      </w:r>
      <w:r w:rsidR="00D916E1">
        <w:rPr>
          <w:rFonts w:asciiTheme="minorHAnsi" w:hAnsiTheme="minorHAnsi" w:cstheme="minorHAnsi"/>
          <w:lang w:eastAsia="en-GB"/>
        </w:rPr>
        <w:t>.</w:t>
      </w:r>
    </w:p>
    <w:p w:rsidR="00616255" w:rsidRPr="00663DB5" w:rsidRDefault="00616255" w:rsidP="00616255">
      <w:pPr>
        <w:pStyle w:val="Heading3"/>
        <w:spacing w:before="240" w:after="120"/>
        <w:rPr>
          <w:rFonts w:asciiTheme="minorHAnsi" w:eastAsiaTheme="minorHAnsi" w:hAnsiTheme="minorHAnsi" w:cstheme="minorHAnsi"/>
          <w:b/>
          <w:i/>
          <w:color w:val="0070C0"/>
          <w:lang w:eastAsia="en-GB"/>
        </w:rPr>
      </w:pPr>
      <w:bookmarkStart w:id="19" w:name="_Toc65242906"/>
      <w:r>
        <w:rPr>
          <w:rFonts w:asciiTheme="minorHAnsi" w:eastAsiaTheme="minorHAnsi" w:hAnsiTheme="minorHAnsi" w:cstheme="minorHAnsi"/>
          <w:b/>
          <w:i/>
          <w:color w:val="0070C0"/>
          <w:lang w:eastAsia="en-GB"/>
        </w:rPr>
        <w:t>Hierarchy of Settlements and the designation of Community Hubs</w:t>
      </w:r>
      <w:bookmarkEnd w:id="19"/>
    </w:p>
    <w:p w:rsidR="00616255" w:rsidRDefault="00616255" w:rsidP="00DF40F0">
      <w:pPr>
        <w:pStyle w:val="ListParagraph"/>
        <w:numPr>
          <w:ilvl w:val="1"/>
          <w:numId w:val="1"/>
        </w:numPr>
        <w:spacing w:before="240" w:line="300" w:lineRule="auto"/>
        <w:ind w:left="0" w:hanging="567"/>
        <w:contextualSpacing w:val="0"/>
        <w:textAlignment w:val="baseline"/>
        <w:rPr>
          <w:rFonts w:ascii="Calibri" w:hAnsi="Calibri" w:cs="Calibri"/>
        </w:rPr>
      </w:pPr>
      <w:r w:rsidRPr="00616255">
        <w:rPr>
          <w:rFonts w:asciiTheme="minorHAnsi" w:hAnsiTheme="minorHAnsi" w:cstheme="minorHAnsi"/>
          <w:lang w:eastAsia="en-GB"/>
        </w:rPr>
        <w:t xml:space="preserve">The </w:t>
      </w:r>
      <w:r>
        <w:rPr>
          <w:rFonts w:asciiTheme="minorHAnsi" w:hAnsiTheme="minorHAnsi" w:cstheme="minorHAnsi"/>
          <w:lang w:eastAsia="en-GB"/>
        </w:rPr>
        <w:t>evidence for designating the Community Hubs listed in Schedule SP2.2 on page 15 of the Draft Plan has been provided by the methodology and scoring system within the Hierarchy of Settlements</w:t>
      </w:r>
      <w:r w:rsidRPr="00616255">
        <w:rPr>
          <w:rFonts w:asciiTheme="minorHAnsi" w:hAnsiTheme="minorHAnsi" w:cstheme="minorHAnsi"/>
          <w:lang w:eastAsia="en-GB"/>
        </w:rPr>
        <w:t xml:space="preserve"> </w:t>
      </w:r>
      <w:r>
        <w:rPr>
          <w:rFonts w:asciiTheme="minorHAnsi" w:hAnsiTheme="minorHAnsi" w:cstheme="minorHAnsi"/>
          <w:lang w:eastAsia="en-GB"/>
        </w:rPr>
        <w:t xml:space="preserve">document within the Evidence Base.  </w:t>
      </w:r>
      <w:r w:rsidR="00DF40F0">
        <w:rPr>
          <w:rFonts w:asciiTheme="minorHAnsi" w:hAnsiTheme="minorHAnsi" w:cstheme="minorHAnsi"/>
          <w:lang w:eastAsia="en-GB"/>
        </w:rPr>
        <w:t xml:space="preserve">This exercise was an attempt by </w:t>
      </w:r>
      <w:r w:rsidR="00DF40F0">
        <w:rPr>
          <w:rFonts w:ascii="Calibri" w:hAnsi="Calibri" w:cs="Calibri"/>
        </w:rPr>
        <w:t>Shropshire Council to use an ‘objective’ system of designation, rather than allowing each village to opt for</w:t>
      </w:r>
      <w:r w:rsidR="00DF40F0" w:rsidRPr="00DF40F0">
        <w:rPr>
          <w:rFonts w:ascii="Calibri" w:hAnsi="Calibri" w:cs="Calibri"/>
        </w:rPr>
        <w:t xml:space="preserve"> Hub</w:t>
      </w:r>
      <w:r w:rsidR="00DF40F0">
        <w:rPr>
          <w:rFonts w:ascii="Calibri" w:hAnsi="Calibri" w:cs="Calibri"/>
        </w:rPr>
        <w:t xml:space="preserve"> status</w:t>
      </w:r>
      <w:r w:rsidR="00DF40F0" w:rsidRPr="00DF40F0">
        <w:rPr>
          <w:rFonts w:ascii="Calibri" w:hAnsi="Calibri" w:cs="Calibri"/>
        </w:rPr>
        <w:t xml:space="preserve">, as happened </w:t>
      </w:r>
      <w:r w:rsidR="00DF40F0">
        <w:rPr>
          <w:rFonts w:ascii="Calibri" w:hAnsi="Calibri" w:cs="Calibri"/>
        </w:rPr>
        <w:t xml:space="preserve">during the previous Core </w:t>
      </w:r>
      <w:r w:rsidR="00691C1F">
        <w:rPr>
          <w:rFonts w:ascii="Calibri" w:hAnsi="Calibri" w:cs="Calibri"/>
        </w:rPr>
        <w:t>Strategy</w:t>
      </w:r>
      <w:r w:rsidR="00DF40F0">
        <w:rPr>
          <w:rFonts w:ascii="Calibri" w:hAnsi="Calibri" w:cs="Calibri"/>
        </w:rPr>
        <w:t>/SAMDev process.</w:t>
      </w:r>
    </w:p>
    <w:p w:rsidR="00AD4013" w:rsidRDefault="00AD4013" w:rsidP="00DF40F0">
      <w:pPr>
        <w:pStyle w:val="ListParagraph"/>
        <w:numPr>
          <w:ilvl w:val="1"/>
          <w:numId w:val="1"/>
        </w:numPr>
        <w:spacing w:before="240" w:line="300" w:lineRule="auto"/>
        <w:ind w:left="0" w:hanging="567"/>
        <w:contextualSpacing w:val="0"/>
        <w:textAlignment w:val="baseline"/>
        <w:rPr>
          <w:rFonts w:ascii="Calibri" w:hAnsi="Calibri" w:cs="Calibri"/>
        </w:rPr>
      </w:pPr>
      <w:r>
        <w:rPr>
          <w:rFonts w:ascii="Calibri" w:hAnsi="Calibri" w:cs="Calibri"/>
        </w:rPr>
        <w:lastRenderedPageBreak/>
        <w:t xml:space="preserve">The </w:t>
      </w:r>
      <w:r>
        <w:rPr>
          <w:rFonts w:asciiTheme="minorHAnsi" w:hAnsiTheme="minorHAnsi" w:cstheme="minorHAnsi"/>
          <w:lang w:eastAsia="en-GB"/>
        </w:rPr>
        <w:t>Hierarchy of Settlements</w:t>
      </w:r>
      <w:r w:rsidRPr="00616255">
        <w:rPr>
          <w:rFonts w:asciiTheme="minorHAnsi" w:hAnsiTheme="minorHAnsi" w:cstheme="minorHAnsi"/>
          <w:lang w:eastAsia="en-GB"/>
        </w:rPr>
        <w:t xml:space="preserve"> </w:t>
      </w:r>
      <w:r w:rsidR="00375560">
        <w:rPr>
          <w:rFonts w:ascii="Calibri" w:hAnsi="Calibri" w:cs="Calibri"/>
        </w:rPr>
        <w:t>me</w:t>
      </w:r>
      <w:r w:rsidR="002178A0">
        <w:rPr>
          <w:rFonts w:ascii="Calibri" w:hAnsi="Calibri" w:cs="Calibri"/>
        </w:rPr>
        <w:t>thodology can be criticised on</w:t>
      </w:r>
      <w:r>
        <w:rPr>
          <w:rFonts w:ascii="Calibri" w:hAnsi="Calibri" w:cs="Calibri"/>
        </w:rPr>
        <w:t xml:space="preserve"> two main </w:t>
      </w:r>
      <w:r w:rsidR="00375560">
        <w:rPr>
          <w:rFonts w:ascii="Calibri" w:hAnsi="Calibri" w:cs="Calibri"/>
        </w:rPr>
        <w:t>principl</w:t>
      </w:r>
      <w:r>
        <w:rPr>
          <w:rFonts w:ascii="Calibri" w:hAnsi="Calibri" w:cs="Calibri"/>
        </w:rPr>
        <w:t>es:</w:t>
      </w:r>
    </w:p>
    <w:p w:rsidR="00375560" w:rsidRDefault="00AD4013" w:rsidP="002427CD">
      <w:pPr>
        <w:pStyle w:val="ListParagraph"/>
        <w:numPr>
          <w:ilvl w:val="0"/>
          <w:numId w:val="18"/>
        </w:numPr>
        <w:spacing w:before="120" w:line="300" w:lineRule="auto"/>
        <w:ind w:left="567" w:hanging="567"/>
        <w:contextualSpacing w:val="0"/>
        <w:textAlignment w:val="baseline"/>
        <w:rPr>
          <w:rFonts w:ascii="Calibri" w:hAnsi="Calibri" w:cs="Calibri"/>
        </w:rPr>
      </w:pPr>
      <w:r>
        <w:rPr>
          <w:rFonts w:ascii="Calibri" w:hAnsi="Calibri" w:cs="Calibri"/>
        </w:rPr>
        <w:t xml:space="preserve">The scoring system </w:t>
      </w:r>
      <w:r w:rsidR="007A6D2B">
        <w:rPr>
          <w:rFonts w:ascii="Calibri" w:hAnsi="Calibri" w:cs="Calibri"/>
        </w:rPr>
        <w:t xml:space="preserve">used </w:t>
      </w:r>
      <w:r>
        <w:rPr>
          <w:rFonts w:ascii="Calibri" w:hAnsi="Calibri" w:cs="Calibri"/>
        </w:rPr>
        <w:t>is over-simplistic</w:t>
      </w:r>
      <w:r w:rsidR="00375560">
        <w:rPr>
          <w:rFonts w:ascii="Calibri" w:hAnsi="Calibri" w:cs="Calibri"/>
        </w:rPr>
        <w:t>.  It attributes the same scores to villages as it does to towns, for a range of services/facilities where towns have those services/facilities to a much greater degree. The disparity seems particularly preposterous for:</w:t>
      </w:r>
    </w:p>
    <w:p w:rsidR="00375560" w:rsidRPr="00777393" w:rsidRDefault="00375560" w:rsidP="002427CD">
      <w:pPr>
        <w:pStyle w:val="ListParagraph"/>
        <w:numPr>
          <w:ilvl w:val="0"/>
          <w:numId w:val="19"/>
        </w:numPr>
        <w:spacing w:before="120" w:line="300" w:lineRule="auto"/>
        <w:ind w:left="1134" w:hanging="567"/>
        <w:contextualSpacing w:val="0"/>
        <w:textAlignment w:val="baseline"/>
        <w:rPr>
          <w:rFonts w:ascii="Calibri" w:hAnsi="Calibri" w:cs="Calibri"/>
        </w:rPr>
      </w:pPr>
      <w:r>
        <w:rPr>
          <w:rFonts w:ascii="Calibri" w:hAnsi="Calibri" w:cs="Calibri"/>
        </w:rPr>
        <w:t>Library:</w:t>
      </w:r>
      <w:r w:rsidR="00777393">
        <w:rPr>
          <w:rFonts w:ascii="Calibri" w:hAnsi="Calibri" w:cs="Calibri"/>
        </w:rPr>
        <w:t xml:space="preserve"> villages that have a library bus only once a fortnight for less than one hour</w:t>
      </w:r>
      <w:r w:rsidR="00777393" w:rsidRPr="00777393">
        <w:rPr>
          <w:rFonts w:ascii="Calibri" w:hAnsi="Calibri" w:cs="Calibri"/>
        </w:rPr>
        <w:t xml:space="preserve"> </w:t>
      </w:r>
      <w:r w:rsidR="00777393">
        <w:rPr>
          <w:rFonts w:ascii="Calibri" w:hAnsi="Calibri" w:cs="Calibri"/>
        </w:rPr>
        <w:t>are awarded</w:t>
      </w:r>
      <w:r w:rsidR="00777393" w:rsidRPr="00777393">
        <w:rPr>
          <w:rFonts w:ascii="Calibri" w:hAnsi="Calibri" w:cs="Calibri"/>
        </w:rPr>
        <w:t xml:space="preserve"> </w:t>
      </w:r>
      <w:r w:rsidR="00777393">
        <w:rPr>
          <w:rFonts w:ascii="Calibri" w:hAnsi="Calibri" w:cs="Calibri"/>
        </w:rPr>
        <w:t xml:space="preserve">the same number of points as towns with a permanent public library open at all the </w:t>
      </w:r>
      <w:r w:rsidR="00777393" w:rsidRPr="00777393">
        <w:rPr>
          <w:rFonts w:ascii="Calibri" w:hAnsi="Calibri" w:cs="Calibri"/>
        </w:rPr>
        <w:t>usual times.</w:t>
      </w:r>
    </w:p>
    <w:p w:rsidR="00375560" w:rsidRPr="00777393" w:rsidRDefault="00777393" w:rsidP="002427CD">
      <w:pPr>
        <w:pStyle w:val="ListParagraph"/>
        <w:numPr>
          <w:ilvl w:val="0"/>
          <w:numId w:val="19"/>
        </w:numPr>
        <w:spacing w:before="120" w:line="300" w:lineRule="auto"/>
        <w:ind w:left="1134" w:hanging="567"/>
        <w:contextualSpacing w:val="0"/>
        <w:textAlignment w:val="baseline"/>
        <w:rPr>
          <w:rFonts w:ascii="Calibri" w:hAnsi="Calibri" w:cs="Calibri"/>
        </w:rPr>
      </w:pPr>
      <w:r>
        <w:rPr>
          <w:rFonts w:ascii="Calibri" w:hAnsi="Calibri" w:cs="Calibri"/>
        </w:rPr>
        <w:t xml:space="preserve">Public transport:  villages with rudimentary bus services are given the same score as the </w:t>
      </w:r>
      <w:r w:rsidRPr="00777393">
        <w:rPr>
          <w:rFonts w:ascii="Calibri" w:hAnsi="Calibri" w:cs="Calibri"/>
        </w:rPr>
        <w:t xml:space="preserve">market towns which have much more extensive </w:t>
      </w:r>
      <w:r>
        <w:rPr>
          <w:rFonts w:ascii="Calibri" w:hAnsi="Calibri" w:cs="Calibri"/>
        </w:rPr>
        <w:t xml:space="preserve">bus </w:t>
      </w:r>
      <w:r w:rsidRPr="00777393">
        <w:rPr>
          <w:rFonts w:ascii="Calibri" w:hAnsi="Calibri" w:cs="Calibri"/>
        </w:rPr>
        <w:t>service</w:t>
      </w:r>
      <w:r>
        <w:rPr>
          <w:rFonts w:ascii="Calibri" w:hAnsi="Calibri" w:cs="Calibri"/>
        </w:rPr>
        <w:t>s</w:t>
      </w:r>
      <w:r w:rsidRPr="00777393">
        <w:rPr>
          <w:rFonts w:ascii="Calibri" w:hAnsi="Calibri" w:cs="Calibri"/>
        </w:rPr>
        <w:t xml:space="preserve"> </w:t>
      </w:r>
      <w:r>
        <w:rPr>
          <w:rFonts w:ascii="Calibri" w:hAnsi="Calibri" w:cs="Calibri"/>
        </w:rPr>
        <w:t xml:space="preserve">and in some cases </w:t>
      </w:r>
      <w:r w:rsidRPr="00777393">
        <w:rPr>
          <w:rFonts w:ascii="Calibri" w:hAnsi="Calibri" w:cs="Calibri"/>
        </w:rPr>
        <w:t>dedicated bus station</w:t>
      </w:r>
      <w:r>
        <w:rPr>
          <w:rFonts w:ascii="Calibri" w:hAnsi="Calibri" w:cs="Calibri"/>
        </w:rPr>
        <w:t>s</w:t>
      </w:r>
      <w:r w:rsidR="007A6D2B">
        <w:rPr>
          <w:rFonts w:ascii="Calibri" w:hAnsi="Calibri" w:cs="Calibri"/>
        </w:rPr>
        <w:t>.</w:t>
      </w:r>
    </w:p>
    <w:p w:rsidR="00777393" w:rsidRPr="00777393" w:rsidRDefault="00777393" w:rsidP="002427CD">
      <w:pPr>
        <w:pStyle w:val="ListParagraph"/>
        <w:numPr>
          <w:ilvl w:val="0"/>
          <w:numId w:val="19"/>
        </w:numPr>
        <w:spacing w:before="120" w:line="300" w:lineRule="auto"/>
        <w:ind w:left="1134" w:hanging="567"/>
        <w:contextualSpacing w:val="0"/>
        <w:textAlignment w:val="baseline"/>
        <w:rPr>
          <w:rFonts w:ascii="Calibri" w:hAnsi="Calibri" w:cs="Calibri"/>
        </w:rPr>
      </w:pPr>
      <w:r>
        <w:rPr>
          <w:rFonts w:ascii="Calibri" w:hAnsi="Calibri" w:cs="Calibri"/>
        </w:rPr>
        <w:t xml:space="preserve">Employment: some villages with relatively limited employment </w:t>
      </w:r>
      <w:r w:rsidRPr="00777393">
        <w:rPr>
          <w:rFonts w:ascii="Calibri" w:hAnsi="Calibri" w:cs="Calibri"/>
        </w:rPr>
        <w:t>options are awarded the same number of points as Shrewsbury and market towns,</w:t>
      </w:r>
      <w:r>
        <w:rPr>
          <w:rFonts w:ascii="Calibri" w:hAnsi="Calibri" w:cs="Calibri"/>
        </w:rPr>
        <w:t xml:space="preserve"> </w:t>
      </w:r>
      <w:r w:rsidRPr="00777393">
        <w:rPr>
          <w:rFonts w:ascii="Calibri" w:hAnsi="Calibri" w:cs="Calibri"/>
        </w:rPr>
        <w:t>with their huge number and variety of jobs</w:t>
      </w:r>
      <w:r w:rsidR="007A6D2B">
        <w:rPr>
          <w:rFonts w:ascii="Calibri" w:hAnsi="Calibri" w:cs="Calibri"/>
        </w:rPr>
        <w:t>.</w:t>
      </w:r>
    </w:p>
    <w:p w:rsidR="00AD4013" w:rsidRDefault="002178A0" w:rsidP="002427CD">
      <w:pPr>
        <w:pStyle w:val="ListParagraph"/>
        <w:numPr>
          <w:ilvl w:val="0"/>
          <w:numId w:val="18"/>
        </w:numPr>
        <w:spacing w:before="120" w:line="300" w:lineRule="auto"/>
        <w:ind w:left="567" w:hanging="567"/>
        <w:contextualSpacing w:val="0"/>
        <w:textAlignment w:val="baseline"/>
        <w:rPr>
          <w:rFonts w:ascii="Calibri" w:hAnsi="Calibri" w:cs="Calibri"/>
        </w:rPr>
      </w:pPr>
      <w:r>
        <w:rPr>
          <w:rFonts w:ascii="Calibri" w:hAnsi="Calibri" w:cs="Calibri"/>
        </w:rPr>
        <w:t>The scoring system does not give any special weighting to the more important services/facilities.  The eventual total score for a settlement is ‘blind’ as to how that score is made up and whether it misses out those services that are more vital to the sustainability of a settlement, such as a school or a decent bus service.</w:t>
      </w:r>
    </w:p>
    <w:p w:rsidR="002178A0" w:rsidRDefault="002178A0" w:rsidP="002178A0">
      <w:pPr>
        <w:pStyle w:val="ListParagraph"/>
        <w:numPr>
          <w:ilvl w:val="1"/>
          <w:numId w:val="1"/>
        </w:numPr>
        <w:spacing w:before="240" w:line="300" w:lineRule="auto"/>
        <w:ind w:left="0" w:hanging="567"/>
        <w:contextualSpacing w:val="0"/>
        <w:textAlignment w:val="baseline"/>
        <w:rPr>
          <w:rFonts w:ascii="Calibri" w:hAnsi="Calibri" w:cs="Calibri"/>
        </w:rPr>
      </w:pPr>
      <w:r>
        <w:rPr>
          <w:rFonts w:ascii="Calibri" w:hAnsi="Calibri" w:cs="Calibri"/>
        </w:rPr>
        <w:t xml:space="preserve">It may be that if the first point were addressed with a more nuanced scoring system, the relative scores amongst </w:t>
      </w:r>
      <w:r w:rsidR="0091730C">
        <w:rPr>
          <w:rFonts w:ascii="Calibri" w:hAnsi="Calibri" w:cs="Calibri"/>
        </w:rPr>
        <w:t>villages, rather than the towns, would produce a similar hierarchy.</w:t>
      </w:r>
    </w:p>
    <w:p w:rsidR="00376186" w:rsidRDefault="0091730C" w:rsidP="002178A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Calibri" w:hAnsi="Calibri" w:cs="Calibri"/>
        </w:rPr>
        <w:t xml:space="preserve">The second point, however, is more fundamental to the question as to whether all those settlements listed in </w:t>
      </w:r>
      <w:r>
        <w:rPr>
          <w:rFonts w:asciiTheme="minorHAnsi" w:hAnsiTheme="minorHAnsi" w:cstheme="minorHAnsi"/>
          <w:lang w:eastAsia="en-GB"/>
        </w:rPr>
        <w:t xml:space="preserve">Schedule SP2.2 are truly sustainable. </w:t>
      </w:r>
      <w:r w:rsidR="00A9153A">
        <w:rPr>
          <w:rFonts w:asciiTheme="minorHAnsi" w:hAnsiTheme="minorHAnsi" w:cstheme="minorHAnsi"/>
          <w:lang w:eastAsia="en-GB"/>
        </w:rPr>
        <w:t xml:space="preserve"> There is a valid argument, put cogently by, for example, the Oswestry and District Civic Society, that </w:t>
      </w:r>
      <w:r w:rsidR="00376186">
        <w:rPr>
          <w:rFonts w:asciiTheme="minorHAnsi" w:hAnsiTheme="minorHAnsi" w:cstheme="minorHAnsi"/>
          <w:lang w:eastAsia="en-GB"/>
        </w:rPr>
        <w:t>building in rural locations is fundamentally less sustainable than building in urban location</w:t>
      </w:r>
      <w:r w:rsidR="00D666E8">
        <w:rPr>
          <w:rFonts w:asciiTheme="minorHAnsi" w:hAnsiTheme="minorHAnsi" w:cstheme="minorHAnsi"/>
          <w:lang w:eastAsia="en-GB"/>
        </w:rPr>
        <w:t>s</w:t>
      </w:r>
      <w:r w:rsidR="00376186">
        <w:rPr>
          <w:rFonts w:asciiTheme="minorHAnsi" w:hAnsiTheme="minorHAnsi" w:cstheme="minorHAnsi"/>
          <w:lang w:eastAsia="en-GB"/>
        </w:rPr>
        <w:t xml:space="preserve"> because it </w:t>
      </w:r>
      <w:r w:rsidR="00D666E8">
        <w:rPr>
          <w:rFonts w:asciiTheme="minorHAnsi" w:hAnsiTheme="minorHAnsi" w:cstheme="minorHAnsi"/>
          <w:lang w:eastAsia="en-GB"/>
        </w:rPr>
        <w:t xml:space="preserve">is </w:t>
      </w:r>
      <w:r w:rsidR="00376186">
        <w:rPr>
          <w:rFonts w:asciiTheme="minorHAnsi" w:hAnsiTheme="minorHAnsi" w:cstheme="minorHAnsi"/>
          <w:lang w:eastAsia="en-GB"/>
        </w:rPr>
        <w:t>not consistent with policies designed to reduce the impact of climate change and to move</w:t>
      </w:r>
      <w:r w:rsidR="00376186" w:rsidRPr="00376186">
        <w:rPr>
          <w:rFonts w:asciiTheme="minorHAnsi" w:hAnsiTheme="minorHAnsi" w:cstheme="minorHAnsi"/>
          <w:lang w:eastAsia="en-GB"/>
        </w:rPr>
        <w:t xml:space="preserve"> to a low carbon economy</w:t>
      </w:r>
      <w:r w:rsidR="00376186">
        <w:rPr>
          <w:rFonts w:asciiTheme="minorHAnsi" w:hAnsiTheme="minorHAnsi" w:cstheme="minorHAnsi"/>
          <w:lang w:eastAsia="en-GB"/>
        </w:rPr>
        <w:t xml:space="preserve">, as enshrined in international, national and local </w:t>
      </w:r>
      <w:r w:rsidR="00D666E8">
        <w:rPr>
          <w:rFonts w:asciiTheme="minorHAnsi" w:hAnsiTheme="minorHAnsi" w:cstheme="minorHAnsi"/>
          <w:lang w:eastAsia="en-GB"/>
        </w:rPr>
        <w:t xml:space="preserve">law and </w:t>
      </w:r>
      <w:r w:rsidR="00376186">
        <w:rPr>
          <w:rFonts w:asciiTheme="minorHAnsi" w:hAnsiTheme="minorHAnsi" w:cstheme="minorHAnsi"/>
          <w:lang w:eastAsia="en-GB"/>
        </w:rPr>
        <w:t>policy, including within this plan and in the SCAP ZCS plan.</w:t>
      </w:r>
    </w:p>
    <w:p w:rsidR="00C43447" w:rsidRDefault="00D666E8" w:rsidP="002178A0">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Calibri" w:hAnsi="Calibri" w:cs="Calibri"/>
        </w:rPr>
        <w:t xml:space="preserve">The HoS scores themselves indicate that some of the proposed Community Hubs do not satisfy the Council’s own definition of what facilities a Hub should have.  </w:t>
      </w:r>
      <w:r w:rsidR="00C43447">
        <w:rPr>
          <w:rFonts w:ascii="Calibri" w:hAnsi="Calibri" w:cs="Calibri"/>
        </w:rPr>
        <w:t xml:space="preserve">On the next page we set out our own summary of the scores for the proposed Community Hub settlements, as derived from the HoS document. </w:t>
      </w:r>
      <w:r>
        <w:rPr>
          <w:rFonts w:ascii="Calibri" w:hAnsi="Calibri" w:cs="Calibri"/>
        </w:rPr>
        <w:t xml:space="preserve"> It is presented in descending order of total HoS score.</w:t>
      </w:r>
    </w:p>
    <w:p w:rsidR="0091730C" w:rsidRPr="00376186" w:rsidRDefault="0091730C" w:rsidP="00D666E8">
      <w:pPr>
        <w:pStyle w:val="ListParagraph"/>
        <w:spacing w:after="0" w:line="300" w:lineRule="auto"/>
        <w:contextualSpacing w:val="0"/>
        <w:textAlignment w:val="baseline"/>
        <w:rPr>
          <w:rFonts w:asciiTheme="minorHAnsi" w:hAnsiTheme="minorHAnsi" w:cstheme="minorHAnsi"/>
          <w:lang w:eastAsia="en-GB"/>
        </w:rPr>
      </w:pPr>
    </w:p>
    <w:p w:rsidR="00A9153A" w:rsidRDefault="00A9153A" w:rsidP="00D666E8">
      <w:pPr>
        <w:pStyle w:val="ListParagraph"/>
        <w:spacing w:after="0" w:line="300" w:lineRule="auto"/>
        <w:contextualSpacing w:val="0"/>
        <w:textAlignment w:val="baseline"/>
        <w:rPr>
          <w:rFonts w:ascii="Calibri" w:hAnsi="Calibri" w:cs="Calibri"/>
        </w:rPr>
        <w:sectPr w:rsidR="00A9153A" w:rsidSect="00A9153A">
          <w:pgSz w:w="11906" w:h="16838" w:code="9"/>
          <w:pgMar w:top="1134" w:right="1440" w:bottom="567" w:left="1440" w:header="567" w:footer="624" w:gutter="0"/>
          <w:cols w:space="708"/>
          <w:docGrid w:linePitch="360"/>
        </w:sectPr>
      </w:pPr>
    </w:p>
    <w:p w:rsidR="00A9153A" w:rsidRPr="007E364C" w:rsidRDefault="007E364C" w:rsidP="007E364C">
      <w:pPr>
        <w:pStyle w:val="ListParagraph"/>
        <w:contextualSpacing w:val="0"/>
        <w:textAlignment w:val="baseline"/>
        <w:rPr>
          <w:rFonts w:asciiTheme="minorHAnsi" w:hAnsiTheme="minorHAnsi" w:cstheme="minorHAnsi"/>
          <w:b/>
          <w:lang w:eastAsia="en-GB"/>
        </w:rPr>
      </w:pPr>
      <w:r>
        <w:rPr>
          <w:rFonts w:asciiTheme="minorHAnsi" w:hAnsiTheme="minorHAnsi" w:cstheme="minorHAnsi"/>
          <w:b/>
          <w:lang w:eastAsia="en-GB"/>
        </w:rPr>
        <w:lastRenderedPageBreak/>
        <w:t>Table 4.4</w:t>
      </w:r>
      <w:r w:rsidRPr="00E32B6F">
        <w:rPr>
          <w:rFonts w:asciiTheme="minorHAnsi" w:hAnsiTheme="minorHAnsi" w:cstheme="minorHAnsi"/>
          <w:b/>
          <w:lang w:eastAsia="en-GB"/>
        </w:rPr>
        <w:t xml:space="preserve">: </w:t>
      </w:r>
      <w:r>
        <w:rPr>
          <w:rFonts w:asciiTheme="minorHAnsi" w:hAnsiTheme="minorHAnsi" w:cstheme="minorHAnsi"/>
          <w:b/>
          <w:lang w:eastAsia="en-GB"/>
        </w:rPr>
        <w:t>Summary of Hierarchy of Settlement scores</w:t>
      </w:r>
    </w:p>
    <w:p w:rsidR="00A9153A" w:rsidRDefault="00C43447" w:rsidP="007E364C">
      <w:pPr>
        <w:pStyle w:val="ListParagraph"/>
        <w:spacing w:line="300" w:lineRule="auto"/>
        <w:contextualSpacing w:val="0"/>
        <w:textAlignment w:val="baseline"/>
        <w:rPr>
          <w:rFonts w:ascii="Calibri" w:hAnsi="Calibri" w:cs="Calibri"/>
        </w:rPr>
      </w:pPr>
      <w:r>
        <w:rPr>
          <w:noProof/>
          <w:lang w:eastAsia="en-GB"/>
        </w:rPr>
        <w:drawing>
          <wp:inline distT="0" distB="0" distL="0" distR="0" wp14:anchorId="36E6A349" wp14:editId="41759588">
            <wp:extent cx="6731000" cy="5734415"/>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43" t="24916" r="55738" b="9324"/>
                    <a:stretch/>
                  </pic:blipFill>
                  <pic:spPr bwMode="auto">
                    <a:xfrm>
                      <a:off x="0" y="0"/>
                      <a:ext cx="6807934" cy="579995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9153A" w:rsidRDefault="00A9153A" w:rsidP="007E364C">
      <w:pPr>
        <w:pStyle w:val="ListParagraph"/>
        <w:spacing w:after="0" w:line="300" w:lineRule="auto"/>
        <w:contextualSpacing w:val="0"/>
        <w:textAlignment w:val="baseline"/>
        <w:rPr>
          <w:rFonts w:ascii="Calibri" w:hAnsi="Calibri" w:cs="Calibri"/>
        </w:rPr>
        <w:sectPr w:rsidR="00A9153A" w:rsidSect="00A9153A">
          <w:pgSz w:w="16838" w:h="11906" w:orient="landscape" w:code="9"/>
          <w:pgMar w:top="567" w:right="1134" w:bottom="1440" w:left="851" w:header="567" w:footer="624" w:gutter="0"/>
          <w:cols w:space="708"/>
          <w:docGrid w:linePitch="360"/>
        </w:sectPr>
      </w:pPr>
    </w:p>
    <w:p w:rsidR="000C40F4" w:rsidRPr="000C40F4" w:rsidRDefault="000C40F4" w:rsidP="00C43447">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Calibri" w:hAnsi="Calibri" w:cs="Calibri"/>
        </w:rPr>
        <w:lastRenderedPageBreak/>
        <w:t>In Table 1 on pages 3-4 of the HoS document, services/facilities are divided into primary services, secondary services and other categories, namely broadband, employment and public transport.  We have grouped the scores into those three sections in our Table 4.4 above, although the presentation of these HoS scores on pages 35 – 43 of the HoS document itself does not do this.</w:t>
      </w:r>
    </w:p>
    <w:p w:rsidR="00C43447" w:rsidRDefault="00C43447" w:rsidP="00C43447">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What constitutes a Community Hub is defined in Table 2 on page 4 of the HoS document as:</w:t>
      </w:r>
    </w:p>
    <w:p w:rsidR="00C43447" w:rsidRPr="00C43447" w:rsidRDefault="00C43447" w:rsidP="00C43447">
      <w:pPr>
        <w:autoSpaceDE w:val="0"/>
        <w:autoSpaceDN w:val="0"/>
        <w:adjustRightInd w:val="0"/>
        <w:ind w:left="567"/>
        <w:rPr>
          <w:rFonts w:asciiTheme="minorHAnsi" w:eastAsia="ArialMT" w:hAnsiTheme="minorHAnsi" w:cstheme="minorHAnsi"/>
          <w:i/>
        </w:rPr>
      </w:pPr>
      <w:r w:rsidRPr="00C43447">
        <w:rPr>
          <w:rFonts w:asciiTheme="minorHAnsi" w:eastAsiaTheme="minorHAnsi" w:hAnsiTheme="minorHAnsi" w:cstheme="minorHAnsi"/>
          <w:b/>
          <w:bCs/>
          <w:i/>
        </w:rPr>
        <w:t xml:space="preserve">Community hub settlements </w:t>
      </w:r>
      <w:r w:rsidRPr="00C43447">
        <w:rPr>
          <w:rFonts w:asciiTheme="minorHAnsi" w:eastAsia="ArialMT" w:hAnsiTheme="minorHAnsi" w:cstheme="minorHAnsi"/>
          <w:i/>
        </w:rPr>
        <w:t>– Whilst the exact combination varies, the settlements within this category are considered to provide a combination of services and facilities; public transport links (often operating regularly through peak travel times); significant employment opportunities; and high speed broadband generally considered sufficient to meet the day-to-day needs of their resident communities</w:t>
      </w:r>
    </w:p>
    <w:p w:rsidR="00A9153A" w:rsidRDefault="000C40F4" w:rsidP="007E364C">
      <w:pPr>
        <w:pStyle w:val="ListParagraph"/>
        <w:numPr>
          <w:ilvl w:val="1"/>
          <w:numId w:val="1"/>
        </w:numPr>
        <w:spacing w:before="240" w:line="300" w:lineRule="auto"/>
        <w:ind w:left="0" w:hanging="567"/>
        <w:contextualSpacing w:val="0"/>
        <w:textAlignment w:val="baseline"/>
        <w:rPr>
          <w:rFonts w:ascii="Calibri" w:hAnsi="Calibri" w:cs="Calibri"/>
        </w:rPr>
      </w:pPr>
      <w:r>
        <w:rPr>
          <w:rFonts w:ascii="Calibri" w:hAnsi="Calibri" w:cs="Calibri"/>
        </w:rPr>
        <w:t>In our above Table 4.4 we have highlighted in yellow where there are zero scores for schools or for public transport.  We have highlighted in orange where there are zero scores for employment.</w:t>
      </w:r>
    </w:p>
    <w:p w:rsidR="008D507B" w:rsidRDefault="008D507B" w:rsidP="007E364C">
      <w:pPr>
        <w:pStyle w:val="ListParagraph"/>
        <w:numPr>
          <w:ilvl w:val="1"/>
          <w:numId w:val="1"/>
        </w:numPr>
        <w:spacing w:before="240" w:line="300" w:lineRule="auto"/>
        <w:ind w:left="0" w:hanging="567"/>
        <w:contextualSpacing w:val="0"/>
        <w:textAlignment w:val="baseline"/>
        <w:rPr>
          <w:rFonts w:ascii="Calibri" w:hAnsi="Calibri" w:cs="Calibri"/>
        </w:rPr>
      </w:pPr>
      <w:r>
        <w:rPr>
          <w:rFonts w:ascii="Calibri" w:hAnsi="Calibri" w:cs="Calibri"/>
        </w:rPr>
        <w:t>This demonstrates that there are several proposed Hub villages that do not have any schools and do not have any public transport service, let alone the rudimentary service that most villages have.  It also demonstrates that there are many proposed Hub villages that have no employment opportunities.</w:t>
      </w:r>
    </w:p>
    <w:p w:rsidR="008D507B" w:rsidRDefault="008D507B" w:rsidP="007E364C">
      <w:pPr>
        <w:pStyle w:val="ListParagraph"/>
        <w:numPr>
          <w:ilvl w:val="1"/>
          <w:numId w:val="1"/>
        </w:numPr>
        <w:spacing w:before="240" w:line="300" w:lineRule="auto"/>
        <w:ind w:left="0" w:hanging="567"/>
        <w:contextualSpacing w:val="0"/>
        <w:textAlignment w:val="baseline"/>
        <w:rPr>
          <w:rFonts w:ascii="Calibri" w:hAnsi="Calibri" w:cs="Calibri"/>
        </w:rPr>
      </w:pPr>
      <w:r>
        <w:rPr>
          <w:rFonts w:ascii="Calibri" w:hAnsi="Calibri" w:cs="Calibri"/>
        </w:rPr>
        <w:t>In reality, most people</w:t>
      </w:r>
      <w:r w:rsidR="00D72FCB">
        <w:rPr>
          <w:rFonts w:ascii="Calibri" w:hAnsi="Calibri" w:cs="Calibri"/>
        </w:rPr>
        <w:t xml:space="preserve"> of working age living in villages commute elsewhere for employment.  That is one reason why it is argued that rural villages per se are unsustainable locations for further development.  However, the lack of a school and public transport indicates a further level of unsustainability.</w:t>
      </w:r>
    </w:p>
    <w:p w:rsidR="00D72FCB" w:rsidRPr="00CE72A5" w:rsidRDefault="00D72FCB" w:rsidP="00CE72A5">
      <w:pPr>
        <w:pStyle w:val="ListParagraph"/>
        <w:numPr>
          <w:ilvl w:val="1"/>
          <w:numId w:val="1"/>
        </w:numPr>
        <w:spacing w:before="240" w:line="300" w:lineRule="auto"/>
        <w:ind w:left="0" w:hanging="567"/>
        <w:contextualSpacing w:val="0"/>
        <w:textAlignment w:val="baseline"/>
        <w:rPr>
          <w:rFonts w:ascii="Calibri" w:hAnsi="Calibri" w:cs="Calibri"/>
        </w:rPr>
      </w:pPr>
      <w:r>
        <w:rPr>
          <w:rFonts w:ascii="Calibri" w:hAnsi="Calibri" w:cs="Calibri"/>
        </w:rPr>
        <w:t xml:space="preserve">The balance of evidence set out above would indicate that some of the proposed Hub villages do not satisfy the Council’s own internal definition of sustainability, let alone any further objective definition of sustainability.  These are Ditton Priors, Cross Houses, Woore/Irelands Cross, and Knockin.  There is also doubt about Clun, </w:t>
      </w:r>
      <w:r w:rsidR="00CE72A5">
        <w:rPr>
          <w:rFonts w:ascii="Calibri" w:hAnsi="Calibri" w:cs="Calibri"/>
        </w:rPr>
        <w:t>Hinstock, C</w:t>
      </w:r>
      <w:r w:rsidR="00E01AD5">
        <w:rPr>
          <w:rFonts w:ascii="Calibri" w:hAnsi="Calibri" w:cs="Calibri"/>
        </w:rPr>
        <w:t>osford</w:t>
      </w:r>
      <w:r w:rsidR="00CE72A5">
        <w:rPr>
          <w:rFonts w:ascii="Calibri" w:hAnsi="Calibri" w:cs="Calibri"/>
        </w:rPr>
        <w:t xml:space="preserve">, and </w:t>
      </w:r>
      <w:r w:rsidR="00E01AD5">
        <w:rPr>
          <w:rFonts w:ascii="Calibri" w:hAnsi="Calibri" w:cs="Calibri"/>
        </w:rPr>
        <w:t>Trefonen.</w:t>
      </w:r>
    </w:p>
    <w:p w:rsidR="00121276" w:rsidRPr="00635474" w:rsidRDefault="00121276" w:rsidP="00616255">
      <w:pPr>
        <w:pStyle w:val="Heading2"/>
        <w:spacing w:before="240" w:after="120"/>
        <w:rPr>
          <w:rFonts w:asciiTheme="minorHAnsi" w:eastAsiaTheme="minorHAnsi" w:hAnsiTheme="minorHAnsi" w:cstheme="minorHAnsi"/>
          <w:b/>
          <w:i/>
          <w:color w:val="0070C0"/>
          <w:sz w:val="28"/>
          <w:szCs w:val="28"/>
          <w:lang w:eastAsia="en-GB"/>
        </w:rPr>
      </w:pPr>
      <w:bookmarkStart w:id="20" w:name="_Toc65242907"/>
      <w:r w:rsidRPr="005307CB">
        <w:rPr>
          <w:rFonts w:asciiTheme="minorHAnsi" w:eastAsiaTheme="minorHAnsi" w:hAnsiTheme="minorHAnsi" w:cstheme="minorHAnsi"/>
          <w:b/>
          <w:i/>
          <w:color w:val="0070C0"/>
          <w:sz w:val="28"/>
          <w:szCs w:val="28"/>
          <w:lang w:eastAsia="en-GB"/>
        </w:rPr>
        <w:t>Modification(s) considered necessary</w:t>
      </w:r>
      <w:r w:rsidR="00A9153A">
        <w:rPr>
          <w:rFonts w:asciiTheme="minorHAnsi" w:eastAsiaTheme="minorHAnsi" w:hAnsiTheme="minorHAnsi" w:cstheme="minorHAnsi"/>
          <w:b/>
          <w:i/>
          <w:color w:val="0070C0"/>
          <w:sz w:val="28"/>
          <w:szCs w:val="28"/>
          <w:lang w:eastAsia="en-GB"/>
        </w:rPr>
        <w:t xml:space="preserve"> to SP2 as a whole</w:t>
      </w:r>
      <w:bookmarkEnd w:id="20"/>
    </w:p>
    <w:p w:rsidR="00121276" w:rsidRDefault="0075063E"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housing guideline figure should be reduced from 30,800 to no more than the </w:t>
      </w:r>
      <w:r w:rsidRPr="0075063E">
        <w:rPr>
          <w:rFonts w:asciiTheme="minorHAnsi" w:hAnsiTheme="minorHAnsi" w:cstheme="minorHAnsi"/>
          <w:lang w:eastAsia="en-GB"/>
        </w:rPr>
        <w:t>Go</w:t>
      </w:r>
      <w:r>
        <w:rPr>
          <w:rFonts w:asciiTheme="minorHAnsi" w:hAnsiTheme="minorHAnsi" w:cstheme="minorHAnsi"/>
          <w:lang w:eastAsia="en-GB"/>
        </w:rPr>
        <w:t>vernme</w:t>
      </w:r>
      <w:r w:rsidRPr="0075063E">
        <w:rPr>
          <w:rFonts w:asciiTheme="minorHAnsi" w:hAnsiTheme="minorHAnsi" w:cstheme="minorHAnsi"/>
          <w:lang w:eastAsia="en-GB"/>
        </w:rPr>
        <w:t>nt minimum requirement of</w:t>
      </w:r>
      <w:r>
        <w:rPr>
          <w:rFonts w:asciiTheme="minorHAnsi" w:hAnsiTheme="minorHAnsi" w:cstheme="minorHAnsi"/>
          <w:lang w:eastAsia="en-GB"/>
        </w:rPr>
        <w:t xml:space="preserve"> 25,894 dwellings.</w:t>
      </w:r>
    </w:p>
    <w:p w:rsidR="004E1A00" w:rsidRDefault="004E1A00"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guideline for employment land should be reduced from around 300 Ha </w:t>
      </w:r>
      <w:r w:rsidR="00663DB5">
        <w:rPr>
          <w:rFonts w:asciiTheme="minorHAnsi" w:hAnsiTheme="minorHAnsi" w:cstheme="minorHAnsi"/>
          <w:lang w:eastAsia="en-GB"/>
        </w:rPr>
        <w:t xml:space="preserve">to </w:t>
      </w:r>
      <w:r w:rsidR="000B38E2">
        <w:rPr>
          <w:rFonts w:asciiTheme="minorHAnsi" w:hAnsiTheme="minorHAnsi" w:cstheme="minorHAnsi"/>
          <w:lang w:eastAsia="en-GB"/>
        </w:rPr>
        <w:t xml:space="preserve">the lower end of the EDNA range of </w:t>
      </w:r>
      <w:r w:rsidR="00BE6595">
        <w:rPr>
          <w:rFonts w:asciiTheme="minorHAnsi" w:hAnsiTheme="minorHAnsi" w:cstheme="minorHAnsi"/>
          <w:lang w:eastAsia="en-GB"/>
        </w:rPr>
        <w:t>132 ha to 234 H</w:t>
      </w:r>
      <w:r w:rsidR="000B38E2" w:rsidRPr="00BE6595">
        <w:rPr>
          <w:rFonts w:asciiTheme="minorHAnsi" w:hAnsiTheme="minorHAnsi" w:cstheme="minorHAnsi"/>
          <w:lang w:eastAsia="en-GB"/>
        </w:rPr>
        <w:t>a</w:t>
      </w:r>
      <w:r w:rsidR="000B38E2">
        <w:rPr>
          <w:rFonts w:asciiTheme="minorHAnsi" w:hAnsiTheme="minorHAnsi" w:cstheme="minorHAnsi"/>
          <w:i/>
          <w:szCs w:val="24"/>
          <w:lang w:eastAsia="en-GB"/>
        </w:rPr>
        <w:t xml:space="preserve">. </w:t>
      </w:r>
      <w:r w:rsidR="000B38E2" w:rsidRPr="000B38E2">
        <w:rPr>
          <w:rFonts w:asciiTheme="minorHAnsi" w:hAnsiTheme="minorHAnsi" w:cstheme="minorHAnsi"/>
          <w:lang w:eastAsia="en-GB"/>
        </w:rPr>
        <w:t>Our own figure is around 155 Ha.</w:t>
      </w:r>
    </w:p>
    <w:p w:rsidR="00663DB5" w:rsidRDefault="00663DB5"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lastRenderedPageBreak/>
        <w:t>The settlement guidelines for employment land in policies S1-S21 should be amended so that they agree in total to the overall guideline for employment land.</w:t>
      </w:r>
    </w:p>
    <w:p w:rsidR="0075063E" w:rsidRDefault="00663DB5"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Appendix 6 should be amended</w:t>
      </w:r>
      <w:r w:rsidR="000B38E2">
        <w:rPr>
          <w:rFonts w:asciiTheme="minorHAnsi" w:hAnsiTheme="minorHAnsi" w:cstheme="minorHAnsi"/>
          <w:lang w:eastAsia="en-GB"/>
        </w:rPr>
        <w:t xml:space="preserve"> into the same format as Appendix 5.  Both should show totals.</w:t>
      </w:r>
    </w:p>
    <w:p w:rsidR="00663DB5" w:rsidRDefault="00663DB5"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w:t>
      </w:r>
      <w:r w:rsidR="000B38E2">
        <w:rPr>
          <w:rFonts w:asciiTheme="minorHAnsi" w:hAnsiTheme="minorHAnsi" w:cstheme="minorHAnsi"/>
          <w:lang w:eastAsia="en-GB"/>
        </w:rPr>
        <w:t xml:space="preserve">incorporation, under the </w:t>
      </w:r>
      <w:r w:rsidR="00BC5D2D">
        <w:rPr>
          <w:rFonts w:asciiTheme="minorHAnsi" w:hAnsiTheme="minorHAnsi" w:cstheme="minorHAnsi"/>
          <w:lang w:eastAsia="en-GB"/>
        </w:rPr>
        <w:t>Duty to C</w:t>
      </w:r>
      <w:r>
        <w:rPr>
          <w:rFonts w:asciiTheme="minorHAnsi" w:hAnsiTheme="minorHAnsi" w:cstheme="minorHAnsi"/>
          <w:lang w:eastAsia="en-GB"/>
        </w:rPr>
        <w:t>o</w:t>
      </w:r>
      <w:r w:rsidR="000B38E2">
        <w:rPr>
          <w:rFonts w:asciiTheme="minorHAnsi" w:hAnsiTheme="minorHAnsi" w:cstheme="minorHAnsi"/>
          <w:lang w:eastAsia="en-GB"/>
        </w:rPr>
        <w:t>-</w:t>
      </w:r>
      <w:r>
        <w:rPr>
          <w:rFonts w:asciiTheme="minorHAnsi" w:hAnsiTheme="minorHAnsi" w:cstheme="minorHAnsi"/>
          <w:lang w:eastAsia="en-GB"/>
        </w:rPr>
        <w:t>operate</w:t>
      </w:r>
      <w:r w:rsidR="000B38E2">
        <w:rPr>
          <w:rFonts w:asciiTheme="minorHAnsi" w:hAnsiTheme="minorHAnsi" w:cstheme="minorHAnsi"/>
          <w:lang w:eastAsia="en-GB"/>
        </w:rPr>
        <w:t>, of</w:t>
      </w:r>
      <w:r w:rsidR="000B38E2" w:rsidRPr="00D24F3B">
        <w:rPr>
          <w:rFonts w:asciiTheme="minorHAnsi" w:hAnsiTheme="minorHAnsi" w:cstheme="minorHAnsi"/>
          <w:lang w:eastAsia="en-GB"/>
        </w:rPr>
        <w:t xml:space="preserve"> 1,500 dwellings </w:t>
      </w:r>
      <w:r w:rsidR="000B38E2">
        <w:rPr>
          <w:rFonts w:asciiTheme="minorHAnsi" w:hAnsiTheme="minorHAnsi" w:cstheme="minorHAnsi"/>
          <w:lang w:eastAsia="en-GB"/>
        </w:rPr>
        <w:t xml:space="preserve">and up to 30 Ha of employment land </w:t>
      </w:r>
      <w:r w:rsidR="000B38E2" w:rsidRPr="00D24F3B">
        <w:rPr>
          <w:rFonts w:asciiTheme="minorHAnsi" w:hAnsiTheme="minorHAnsi" w:cstheme="minorHAnsi"/>
          <w:lang w:eastAsia="en-GB"/>
        </w:rPr>
        <w:t>to support the housing needs of the emerging Black Country Plan</w:t>
      </w:r>
      <w:r w:rsidR="000B38E2">
        <w:rPr>
          <w:rFonts w:asciiTheme="minorHAnsi" w:hAnsiTheme="minorHAnsi" w:cstheme="minorHAnsi"/>
          <w:lang w:eastAsia="en-GB"/>
        </w:rPr>
        <w:t xml:space="preserve"> should be removed from the Plan until such time as </w:t>
      </w:r>
      <w:r w:rsidR="00BC5D2D">
        <w:rPr>
          <w:rFonts w:asciiTheme="minorHAnsi" w:hAnsiTheme="minorHAnsi" w:cstheme="minorHAnsi"/>
          <w:lang w:eastAsia="en-GB"/>
        </w:rPr>
        <w:t xml:space="preserve">the Black Country Plan is mature, and Shropshire’s proposed share of Black Country unmet need can be justifiably evidenced to be proportionate to the equivalent Duties of Local Authority areas with a closer functional relationship to ABCA. </w:t>
      </w:r>
    </w:p>
    <w:p w:rsidR="0091730C" w:rsidRPr="00650C0E" w:rsidRDefault="0091730C" w:rsidP="0075063E">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settlements of </w:t>
      </w:r>
      <w:r w:rsidR="00CE72A5">
        <w:rPr>
          <w:rFonts w:ascii="Calibri" w:hAnsi="Calibri" w:cs="Calibri"/>
        </w:rPr>
        <w:t>Ditton Priors, Cross Houses, Woore/Irelands Cross, and Knockin should be removed from the list of Community Hubs in Schedule SP2.2.</w:t>
      </w:r>
    </w:p>
    <w:p w:rsidR="00650C0E" w:rsidRDefault="00650C0E" w:rsidP="00650C0E">
      <w:pPr>
        <w:pStyle w:val="ListParagraph"/>
        <w:spacing w:before="240" w:line="300" w:lineRule="auto"/>
        <w:contextualSpacing w:val="0"/>
        <w:textAlignment w:val="baseline"/>
        <w:rPr>
          <w:rFonts w:asciiTheme="minorHAnsi" w:hAnsiTheme="minorHAnsi" w:cstheme="minorHAnsi"/>
          <w:lang w:eastAsia="en-GB"/>
        </w:rPr>
      </w:pPr>
      <w:r>
        <w:rPr>
          <w:rFonts w:asciiTheme="minorHAnsi" w:hAnsiTheme="minorHAnsi" w:cstheme="minorHAnsi"/>
          <w:lang w:eastAsia="en-GB"/>
        </w:rPr>
        <w:br w:type="page"/>
      </w:r>
    </w:p>
    <w:p w:rsidR="0055456B" w:rsidRPr="00862910" w:rsidRDefault="0055456B" w:rsidP="0055456B">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21" w:name="_Toc65242908"/>
      <w:r>
        <w:rPr>
          <w:rFonts w:asciiTheme="minorHAnsi" w:hAnsiTheme="minorHAnsi" w:cstheme="minorHAnsi"/>
          <w:b/>
          <w:color w:val="0070C0"/>
          <w:sz w:val="36"/>
          <w:szCs w:val="36"/>
          <w:lang w:eastAsia="en-GB"/>
        </w:rPr>
        <w:lastRenderedPageBreak/>
        <w:t>SP3 Climate Change</w:t>
      </w:r>
      <w:bookmarkEnd w:id="21"/>
    </w:p>
    <w:p w:rsidR="0055456B" w:rsidRPr="00FE2663" w:rsidRDefault="0055456B" w:rsidP="0055456B">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55456B" w:rsidRPr="00FE2663" w:rsidRDefault="0055456B" w:rsidP="0055456B">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55456B" w:rsidRPr="00A17498" w:rsidTr="00185258">
        <w:trPr>
          <w:trHeight w:val="283"/>
        </w:trPr>
        <w:tc>
          <w:tcPr>
            <w:tcW w:w="567" w:type="dxa"/>
            <w:tcBorders>
              <w:right w:val="single" w:sz="4" w:space="0" w:color="auto"/>
            </w:tcBorders>
            <w:vAlign w:val="center"/>
          </w:tcPr>
          <w:p w:rsidR="0055456B" w:rsidRPr="00A17498" w:rsidRDefault="0055456B" w:rsidP="00185258">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55456B" w:rsidRPr="001251D0" w:rsidRDefault="0055456B" w:rsidP="00185258">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55456B" w:rsidRPr="00A17498" w:rsidRDefault="0055456B" w:rsidP="0055456B">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55456B" w:rsidRPr="00A17498" w:rsidTr="00185258">
        <w:trPr>
          <w:trHeight w:val="283"/>
        </w:trPr>
        <w:tc>
          <w:tcPr>
            <w:tcW w:w="1134" w:type="dxa"/>
            <w:tcBorders>
              <w:top w:val="nil"/>
              <w:left w:val="nil"/>
              <w:bottom w:val="nil"/>
              <w:right w:val="single" w:sz="4" w:space="0" w:color="auto"/>
            </w:tcBorders>
            <w:vAlign w:val="center"/>
          </w:tcPr>
          <w:p w:rsidR="0055456B" w:rsidRPr="00A17498" w:rsidRDefault="0055456B" w:rsidP="00185258">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55456B" w:rsidRPr="00A17498" w:rsidRDefault="0055456B" w:rsidP="00185258">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55456B" w:rsidRPr="00A17498" w:rsidRDefault="0055456B" w:rsidP="00185258">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55456B" w:rsidRPr="00A17498" w:rsidRDefault="0055456B" w:rsidP="00185258">
            <w:pPr>
              <w:pStyle w:val="BodyText"/>
              <w:spacing w:after="0"/>
              <w:rPr>
                <w:rFonts w:asciiTheme="minorHAnsi" w:hAnsiTheme="minorHAnsi" w:cstheme="minorHAnsi"/>
              </w:rPr>
            </w:pPr>
            <w:r>
              <w:rPr>
                <w:rFonts w:asciiTheme="minorHAnsi" w:hAnsiTheme="minorHAnsi" w:cstheme="minorHAnsi"/>
              </w:rPr>
              <w:t>SP3</w:t>
            </w:r>
          </w:p>
        </w:tc>
      </w:tr>
    </w:tbl>
    <w:p w:rsidR="0055456B" w:rsidRPr="00A17498" w:rsidRDefault="0055456B" w:rsidP="0055456B">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BE6595" w:rsidTr="00691C1F">
        <w:trPr>
          <w:trHeight w:val="283"/>
        </w:trPr>
        <w:tc>
          <w:tcPr>
            <w:tcW w:w="4820" w:type="dxa"/>
            <w:tcBorders>
              <w:top w:val="nil"/>
              <w:left w:val="nil"/>
              <w:bottom w:val="nil"/>
              <w:right w:val="nil"/>
            </w:tcBorders>
            <w:vAlign w:val="center"/>
          </w:tcPr>
          <w:p w:rsidR="00BE6595" w:rsidRPr="00882F68" w:rsidRDefault="00BE6595" w:rsidP="00691C1F">
            <w:pPr>
              <w:rPr>
                <w:rFonts w:ascii="Verdana" w:eastAsiaTheme="minorHAnsi" w:hAnsi="Verdana" w:cs="Verdana"/>
                <w:color w:val="000000"/>
                <w:sz w:val="20"/>
                <w:szCs w:val="20"/>
              </w:rPr>
            </w:pPr>
            <w:r>
              <w:rPr>
                <w:rFonts w:ascii="Verdana" w:eastAsiaTheme="minorHAnsi" w:hAnsi="Verdana" w:cs="Verdana"/>
                <w:color w:val="000000"/>
                <w:sz w:val="20"/>
                <w:szCs w:val="20"/>
              </w:rPr>
              <w:t>A</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Legally compliant</w:t>
            </w:r>
          </w:p>
        </w:tc>
        <w:tc>
          <w:tcPr>
            <w:tcW w:w="1275" w:type="dxa"/>
            <w:tcBorders>
              <w:top w:val="nil"/>
              <w:left w:val="nil"/>
              <w:bottom w:val="nil"/>
              <w:right w:val="single" w:sz="4" w:space="0" w:color="auto"/>
            </w:tcBorders>
            <w:vAlign w:val="center"/>
          </w:tcPr>
          <w:p w:rsidR="00BE6595" w:rsidRDefault="00BE6595" w:rsidP="00691C1F">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BE6595" w:rsidRPr="00A17498" w:rsidRDefault="00BE6595" w:rsidP="00691C1F">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BE6595" w:rsidRDefault="00BE6595" w:rsidP="00691C1F">
            <w:pPr>
              <w:pStyle w:val="TableParagraph"/>
              <w:spacing w:before="42"/>
              <w:rPr>
                <w:sz w:val="20"/>
              </w:rPr>
            </w:pPr>
            <w:r>
              <w:rPr>
                <w:sz w:val="20"/>
              </w:rPr>
              <w:t>No:</w:t>
            </w:r>
          </w:p>
        </w:tc>
        <w:tc>
          <w:tcPr>
            <w:tcW w:w="567" w:type="dxa"/>
            <w:tcBorders>
              <w:left w:val="single" w:sz="4" w:space="0" w:color="auto"/>
            </w:tcBorders>
            <w:vAlign w:val="center"/>
          </w:tcPr>
          <w:p w:rsidR="00BE6595" w:rsidRPr="00A17498" w:rsidRDefault="00BE6595" w:rsidP="00691C1F">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r w:rsidR="0055456B" w:rsidTr="00185258">
        <w:trPr>
          <w:trHeight w:val="283"/>
        </w:trPr>
        <w:tc>
          <w:tcPr>
            <w:tcW w:w="4820" w:type="dxa"/>
            <w:tcBorders>
              <w:top w:val="nil"/>
              <w:left w:val="nil"/>
              <w:bottom w:val="nil"/>
              <w:right w:val="nil"/>
            </w:tcBorders>
            <w:vAlign w:val="center"/>
          </w:tcPr>
          <w:p w:rsidR="0055456B" w:rsidRPr="00882F68" w:rsidRDefault="0055456B" w:rsidP="00185258">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55456B" w:rsidRDefault="0055456B" w:rsidP="00185258">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55456B" w:rsidRPr="00A17498" w:rsidRDefault="0055456B" w:rsidP="00185258">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55456B" w:rsidRDefault="0055456B" w:rsidP="00185258">
            <w:pPr>
              <w:pStyle w:val="TableParagraph"/>
              <w:spacing w:before="42"/>
              <w:rPr>
                <w:sz w:val="20"/>
              </w:rPr>
            </w:pPr>
            <w:r>
              <w:rPr>
                <w:sz w:val="20"/>
              </w:rPr>
              <w:t>No:</w:t>
            </w:r>
          </w:p>
        </w:tc>
        <w:tc>
          <w:tcPr>
            <w:tcW w:w="567" w:type="dxa"/>
            <w:tcBorders>
              <w:left w:val="single" w:sz="4" w:space="0" w:color="auto"/>
            </w:tcBorders>
            <w:vAlign w:val="center"/>
          </w:tcPr>
          <w:p w:rsidR="0055456B" w:rsidRPr="00A17498" w:rsidRDefault="0055456B" w:rsidP="00185258">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bl>
    <w:p w:rsidR="0055456B" w:rsidRPr="005307CB" w:rsidRDefault="0055456B" w:rsidP="0055456B">
      <w:pPr>
        <w:pStyle w:val="Heading2"/>
        <w:spacing w:before="240" w:after="120"/>
        <w:rPr>
          <w:rFonts w:asciiTheme="minorHAnsi" w:eastAsiaTheme="minorHAnsi" w:hAnsiTheme="minorHAnsi" w:cstheme="minorHAnsi"/>
          <w:b/>
          <w:i/>
          <w:color w:val="0070C0"/>
          <w:sz w:val="28"/>
          <w:szCs w:val="28"/>
          <w:lang w:eastAsia="en-GB"/>
        </w:rPr>
      </w:pPr>
      <w:bookmarkStart w:id="22" w:name="_Toc65242909"/>
      <w:r w:rsidRPr="005307CB">
        <w:rPr>
          <w:rFonts w:asciiTheme="minorHAnsi" w:eastAsiaTheme="minorHAnsi" w:hAnsiTheme="minorHAnsi" w:cstheme="minorHAnsi"/>
          <w:b/>
          <w:i/>
          <w:color w:val="0070C0"/>
          <w:sz w:val="28"/>
          <w:szCs w:val="28"/>
          <w:lang w:eastAsia="en-GB"/>
        </w:rPr>
        <w:t>Details</w:t>
      </w:r>
      <w:bookmarkEnd w:id="22"/>
    </w:p>
    <w:p w:rsidR="0055456B" w:rsidRDefault="0055456B" w:rsidP="00B73EDC">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Our case is that the climate emergency and the intimately associated ecological emergency, are of such overriding consideration that mankind has to change course.  </w:t>
      </w:r>
      <w:r w:rsidR="00B73EDC">
        <w:rPr>
          <w:rFonts w:asciiTheme="minorHAnsi" w:hAnsiTheme="minorHAnsi" w:cstheme="minorHAnsi"/>
          <w:lang w:eastAsia="en-GB"/>
        </w:rPr>
        <w:t xml:space="preserve">Growth, and exploitation of resources, should be kept to an </w:t>
      </w:r>
      <w:r w:rsidR="005458FB">
        <w:rPr>
          <w:rFonts w:asciiTheme="minorHAnsi" w:hAnsiTheme="minorHAnsi" w:cstheme="minorHAnsi"/>
          <w:lang w:eastAsia="en-GB"/>
        </w:rPr>
        <w:t>opt</w:t>
      </w:r>
      <w:r w:rsidR="00B73EDC">
        <w:rPr>
          <w:rFonts w:asciiTheme="minorHAnsi" w:hAnsiTheme="minorHAnsi" w:cstheme="minorHAnsi"/>
          <w:lang w:eastAsia="en-GB"/>
        </w:rPr>
        <w:t>imum</w:t>
      </w:r>
      <w:r w:rsidR="005458FB">
        <w:rPr>
          <w:rFonts w:asciiTheme="minorHAnsi" w:hAnsiTheme="minorHAnsi" w:cstheme="minorHAnsi"/>
          <w:lang w:eastAsia="en-GB"/>
        </w:rPr>
        <w:t xml:space="preserve"> level</w:t>
      </w:r>
      <w:r w:rsidR="00B73EDC">
        <w:rPr>
          <w:rFonts w:asciiTheme="minorHAnsi" w:hAnsiTheme="minorHAnsi" w:cstheme="minorHAnsi"/>
          <w:lang w:eastAsia="en-GB"/>
        </w:rPr>
        <w:t>, not maximised.</w:t>
      </w:r>
      <w:r w:rsidR="00EF2963">
        <w:rPr>
          <w:rFonts w:asciiTheme="minorHAnsi" w:hAnsiTheme="minorHAnsi" w:cstheme="minorHAnsi"/>
          <w:lang w:eastAsia="en-GB"/>
        </w:rPr>
        <w:t xml:space="preserve"> This is corroborated </w:t>
      </w:r>
      <w:r w:rsidR="00A45FEF">
        <w:rPr>
          <w:rFonts w:asciiTheme="minorHAnsi" w:hAnsiTheme="minorHAnsi" w:cstheme="minorHAnsi"/>
          <w:lang w:eastAsia="en-GB"/>
        </w:rPr>
        <w:t>both by</w:t>
      </w:r>
      <w:r w:rsidR="00EF2963">
        <w:rPr>
          <w:rFonts w:asciiTheme="minorHAnsi" w:hAnsiTheme="minorHAnsi" w:cstheme="minorHAnsi"/>
          <w:lang w:eastAsia="en-GB"/>
        </w:rPr>
        <w:t xml:space="preserve"> planning legislation and by planning policy.</w:t>
      </w:r>
    </w:p>
    <w:p w:rsidR="00EF2963" w:rsidRPr="00EF2963" w:rsidRDefault="00EF2963" w:rsidP="00EF2963">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Plann</w:t>
      </w:r>
      <w:r w:rsidR="00A45FEF">
        <w:rPr>
          <w:rFonts w:asciiTheme="minorHAnsi" w:hAnsiTheme="minorHAnsi" w:cstheme="minorHAnsi"/>
          <w:lang w:eastAsia="en-GB"/>
        </w:rPr>
        <w:t>ing legislation</w:t>
      </w:r>
      <w:r>
        <w:rPr>
          <w:rFonts w:asciiTheme="minorHAnsi" w:hAnsiTheme="minorHAnsi" w:cstheme="minorHAnsi"/>
          <w:lang w:eastAsia="en-GB"/>
        </w:rPr>
        <w:t xml:space="preserve">: </w:t>
      </w:r>
      <w:r w:rsidRPr="00EF2963">
        <w:rPr>
          <w:rFonts w:asciiTheme="minorHAnsi" w:hAnsiTheme="minorHAnsi" w:cstheme="minorHAnsi"/>
          <w:lang w:eastAsia="en-GB"/>
        </w:rPr>
        <w:t>Section 19 of the 2004 Planning and Compulsory Purchase Act, as amended by Section 182 of the Planning Act 2008</w:t>
      </w:r>
      <w:r>
        <w:rPr>
          <w:rStyle w:val="FootnoteReference"/>
          <w:rFonts w:asciiTheme="minorHAnsi" w:hAnsiTheme="minorHAnsi" w:cstheme="minorHAnsi"/>
          <w:lang w:eastAsia="en-GB"/>
        </w:rPr>
        <w:footnoteReference w:id="15"/>
      </w:r>
      <w:r w:rsidRPr="00EF2963">
        <w:rPr>
          <w:rFonts w:asciiTheme="minorHAnsi" w:hAnsiTheme="minorHAnsi" w:cstheme="minorHAnsi"/>
          <w:lang w:eastAsia="en-GB"/>
        </w:rPr>
        <w:t xml:space="preserve"> states: </w:t>
      </w:r>
      <w:r w:rsidRPr="00EF2963">
        <w:rPr>
          <w:rFonts w:asciiTheme="minorHAnsi" w:hAnsiTheme="minorHAnsi" w:cstheme="minorHAnsi"/>
          <w:i/>
          <w:lang w:eastAsia="en-GB"/>
        </w:rPr>
        <w:t>‘Development plan documents must (taken as a whole) include policies designed to secure that the development and use of land in the local planning authority’s area contribute to the mitigation of, and adaptation to, climate change’</w:t>
      </w:r>
      <w:r>
        <w:rPr>
          <w:rFonts w:asciiTheme="minorHAnsi" w:hAnsiTheme="minorHAnsi" w:cstheme="minorHAnsi"/>
          <w:lang w:eastAsia="en-GB"/>
        </w:rPr>
        <w:t>.</w:t>
      </w:r>
    </w:p>
    <w:p w:rsidR="004341EC" w:rsidRDefault="00EF2963" w:rsidP="004341EC">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Planning policy: </w:t>
      </w:r>
      <w:r w:rsidR="004341EC">
        <w:rPr>
          <w:rFonts w:asciiTheme="minorHAnsi" w:hAnsiTheme="minorHAnsi" w:cstheme="minorHAnsi"/>
          <w:lang w:eastAsia="en-GB"/>
        </w:rPr>
        <w:t>NPPF p</w:t>
      </w:r>
      <w:r w:rsidR="004341EC" w:rsidRPr="00185258">
        <w:rPr>
          <w:rFonts w:asciiTheme="minorHAnsi" w:hAnsiTheme="minorHAnsi" w:cstheme="minorHAnsi"/>
          <w:lang w:eastAsia="en-GB"/>
        </w:rPr>
        <w:t>aragraph</w:t>
      </w:r>
      <w:r w:rsidR="004341EC">
        <w:rPr>
          <w:rFonts w:asciiTheme="minorHAnsi" w:hAnsiTheme="minorHAnsi" w:cstheme="minorHAnsi"/>
          <w:lang w:eastAsia="en-GB"/>
        </w:rPr>
        <w:t xml:space="preserve">s 148-149 </w:t>
      </w:r>
      <w:r w:rsidR="004341EC" w:rsidRPr="00185258">
        <w:rPr>
          <w:rFonts w:asciiTheme="minorHAnsi" w:hAnsiTheme="minorHAnsi" w:cstheme="minorHAnsi"/>
          <w:lang w:eastAsia="en-GB"/>
        </w:rPr>
        <w:t xml:space="preserve">require </w:t>
      </w:r>
      <w:r w:rsidR="004341EC">
        <w:rPr>
          <w:rFonts w:asciiTheme="minorHAnsi" w:hAnsiTheme="minorHAnsi" w:cstheme="minorHAnsi"/>
          <w:lang w:eastAsia="en-GB"/>
        </w:rPr>
        <w:t xml:space="preserve">that </w:t>
      </w:r>
      <w:r w:rsidR="004341EC" w:rsidRPr="009568AF">
        <w:rPr>
          <w:rFonts w:asciiTheme="minorHAnsi" w:hAnsiTheme="minorHAnsi" w:cstheme="minorHAnsi"/>
          <w:i/>
          <w:lang w:eastAsia="en-GB"/>
        </w:rPr>
        <w:t>“the planning system . . . should help to shape places in ways that contribute to radical reductions in greenhouse gas emissions.  Plans should take a proactive approach to mitigating and adapting to climate change, taking into account the long-term implications for flood risk, coastal change, water supply, biodiversity and landscapes, and the risk of overheating from rising temperatures . . . in line with the objectives and provisions of the Climate Change Act 2008</w:t>
      </w:r>
      <w:r w:rsidR="009568AF" w:rsidRPr="009568AF">
        <w:rPr>
          <w:rFonts w:asciiTheme="minorHAnsi" w:hAnsiTheme="minorHAnsi" w:cstheme="minorHAnsi"/>
          <w:i/>
          <w:lang w:eastAsia="en-GB"/>
        </w:rPr>
        <w:t>”</w:t>
      </w:r>
      <w:r w:rsidR="004341EC" w:rsidRPr="004341EC">
        <w:rPr>
          <w:rFonts w:asciiTheme="minorHAnsi" w:hAnsiTheme="minorHAnsi" w:cstheme="minorHAnsi"/>
          <w:lang w:eastAsia="en-GB"/>
        </w:rPr>
        <w:t>.</w:t>
      </w:r>
      <w:r>
        <w:rPr>
          <w:rFonts w:asciiTheme="minorHAnsi" w:hAnsiTheme="minorHAnsi" w:cstheme="minorHAnsi"/>
          <w:lang w:eastAsia="en-GB"/>
        </w:rPr>
        <w:t xml:space="preserve">  D</w:t>
      </w:r>
      <w:r w:rsidRPr="004341EC">
        <w:rPr>
          <w:rFonts w:asciiTheme="minorHAnsi" w:hAnsiTheme="minorHAnsi" w:cstheme="minorHAnsi"/>
          <w:lang w:eastAsia="en-GB"/>
        </w:rPr>
        <w:t>etailed interpretation of the</w:t>
      </w:r>
      <w:r>
        <w:rPr>
          <w:rFonts w:asciiTheme="minorHAnsi" w:hAnsiTheme="minorHAnsi" w:cstheme="minorHAnsi"/>
          <w:lang w:eastAsia="en-GB"/>
        </w:rPr>
        <w:t>se</w:t>
      </w:r>
      <w:r w:rsidRPr="004341EC">
        <w:rPr>
          <w:rFonts w:asciiTheme="minorHAnsi" w:hAnsiTheme="minorHAnsi" w:cstheme="minorHAnsi"/>
          <w:lang w:eastAsia="en-GB"/>
        </w:rPr>
        <w:t xml:space="preserve"> NPPF requirements</w:t>
      </w:r>
      <w:r>
        <w:rPr>
          <w:rFonts w:asciiTheme="minorHAnsi" w:hAnsiTheme="minorHAnsi" w:cstheme="minorHAnsi"/>
          <w:lang w:eastAsia="en-GB"/>
        </w:rPr>
        <w:t xml:space="preserve"> is given in the online PPG guidance at p</w:t>
      </w:r>
      <w:r w:rsidRPr="004341EC">
        <w:rPr>
          <w:rFonts w:asciiTheme="minorHAnsi" w:hAnsiTheme="minorHAnsi" w:cstheme="minorHAnsi"/>
          <w:lang w:eastAsia="en-GB"/>
        </w:rPr>
        <w:t>aragraphs 1 and 7</w:t>
      </w:r>
      <w:r>
        <w:rPr>
          <w:rFonts w:asciiTheme="minorHAnsi" w:hAnsiTheme="minorHAnsi" w:cstheme="minorHAnsi"/>
          <w:lang w:eastAsia="en-GB"/>
        </w:rPr>
        <w:t>.</w:t>
      </w:r>
    </w:p>
    <w:p w:rsidR="001D3132" w:rsidRDefault="001D3132" w:rsidP="004341EC">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In their new </w:t>
      </w:r>
      <w:r w:rsidRPr="001D3132">
        <w:rPr>
          <w:rFonts w:asciiTheme="minorHAnsi" w:hAnsiTheme="minorHAnsi" w:cstheme="minorHAnsi"/>
          <w:bCs/>
          <w:iCs/>
          <w:color w:val="000000"/>
          <w:szCs w:val="24"/>
        </w:rPr>
        <w:t>Corporate Climate Strategy</w:t>
      </w:r>
      <w:r>
        <w:rPr>
          <w:rFonts w:asciiTheme="minorHAnsi" w:hAnsiTheme="minorHAnsi" w:cstheme="minorHAnsi"/>
          <w:lang w:eastAsia="en-GB"/>
        </w:rPr>
        <w:t>, Shropshire Council has set a carbon budget</w:t>
      </w:r>
      <w:r w:rsidR="00BE6595">
        <w:rPr>
          <w:rFonts w:asciiTheme="minorHAnsi" w:hAnsiTheme="minorHAnsi" w:cstheme="minorHAnsi"/>
          <w:lang w:eastAsia="en-GB"/>
        </w:rPr>
        <w:t>,</w:t>
      </w:r>
      <w:r>
        <w:rPr>
          <w:rFonts w:asciiTheme="minorHAnsi" w:hAnsiTheme="minorHAnsi" w:cstheme="minorHAnsi"/>
          <w:lang w:eastAsia="en-GB"/>
        </w:rPr>
        <w:t xml:space="preserve"> for </w:t>
      </w:r>
      <w:r w:rsidR="00A45FEF">
        <w:rPr>
          <w:rFonts w:asciiTheme="minorHAnsi" w:hAnsiTheme="minorHAnsi" w:cstheme="minorHAnsi"/>
          <w:lang w:eastAsia="en-GB"/>
        </w:rPr>
        <w:t>Shropshire Council C</w:t>
      </w:r>
      <w:r w:rsidRPr="001D3132">
        <w:rPr>
          <w:rFonts w:asciiTheme="minorHAnsi" w:hAnsiTheme="minorHAnsi" w:cstheme="minorHAnsi"/>
          <w:lang w:eastAsia="en-GB"/>
        </w:rPr>
        <w:t>orporate carbon emissions only</w:t>
      </w:r>
      <w:r>
        <w:rPr>
          <w:rFonts w:asciiTheme="minorHAnsi" w:hAnsiTheme="minorHAnsi" w:cstheme="minorHAnsi"/>
          <w:lang w:eastAsia="en-GB"/>
        </w:rPr>
        <w:t>, as follows</w:t>
      </w:r>
      <w:r>
        <w:rPr>
          <w:rStyle w:val="FootnoteReference"/>
          <w:rFonts w:asciiTheme="minorHAnsi" w:hAnsiTheme="minorHAnsi" w:cstheme="minorHAnsi"/>
          <w:lang w:eastAsia="en-GB"/>
        </w:rPr>
        <w:footnoteReference w:id="16"/>
      </w:r>
      <w:r>
        <w:rPr>
          <w:rFonts w:asciiTheme="minorHAnsi" w:hAnsiTheme="minorHAnsi" w:cstheme="minorHAnsi"/>
          <w:lang w:eastAsia="en-GB"/>
        </w:rPr>
        <w:t>:</w:t>
      </w:r>
    </w:p>
    <w:p w:rsidR="001D3132" w:rsidRDefault="001D3132" w:rsidP="001D3132">
      <w:pPr>
        <w:pStyle w:val="ListParagraph"/>
        <w:spacing w:before="240" w:line="300" w:lineRule="auto"/>
        <w:contextualSpacing w:val="0"/>
        <w:textAlignment w:val="baseline"/>
        <w:rPr>
          <w:rFonts w:asciiTheme="minorHAnsi" w:hAnsiTheme="minorHAnsi" w:cstheme="minorHAnsi"/>
          <w:lang w:eastAsia="en-GB"/>
        </w:rPr>
      </w:pPr>
      <w:r>
        <w:rPr>
          <w:noProof/>
          <w:lang w:eastAsia="en-GB"/>
        </w:rPr>
        <w:lastRenderedPageBreak/>
        <w:drawing>
          <wp:inline distT="0" distB="0" distL="0" distR="0" wp14:anchorId="42E3328F" wp14:editId="7D88B387">
            <wp:extent cx="5764381" cy="2428875"/>
            <wp:effectExtent l="19050" t="1905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662" t="21147" r="3558" b="16841"/>
                    <a:stretch/>
                  </pic:blipFill>
                  <pic:spPr bwMode="auto">
                    <a:xfrm>
                      <a:off x="0" y="0"/>
                      <a:ext cx="5777405" cy="243436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1D3132" w:rsidRDefault="001D3132" w:rsidP="001D3132">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szCs w:val="24"/>
          <w:lang w:eastAsia="en-GB"/>
        </w:rPr>
        <w:t>SCAP’s ZCS Plan</w:t>
      </w:r>
      <w:r>
        <w:rPr>
          <w:rFonts w:asciiTheme="minorHAnsi" w:hAnsiTheme="minorHAnsi" w:cstheme="minorHAnsi"/>
          <w:lang w:eastAsia="en-GB"/>
        </w:rPr>
        <w:t xml:space="preserve"> has </w:t>
      </w:r>
      <w:r w:rsidR="00C167D0">
        <w:rPr>
          <w:rFonts w:asciiTheme="minorHAnsi" w:hAnsiTheme="minorHAnsi" w:cstheme="minorHAnsi"/>
          <w:lang w:eastAsia="en-GB"/>
        </w:rPr>
        <w:t>set out</w:t>
      </w:r>
      <w:r>
        <w:rPr>
          <w:rFonts w:asciiTheme="minorHAnsi" w:hAnsiTheme="minorHAnsi" w:cstheme="minorHAnsi"/>
          <w:lang w:eastAsia="en-GB"/>
        </w:rPr>
        <w:t xml:space="preserve"> a carbon budget as follows</w:t>
      </w:r>
      <w:r w:rsidR="00C167D0">
        <w:rPr>
          <w:rFonts w:asciiTheme="minorHAnsi" w:hAnsiTheme="minorHAnsi" w:cstheme="minorHAnsi"/>
          <w:lang w:eastAsia="en-GB"/>
        </w:rPr>
        <w:t xml:space="preserve"> for the ceremonial county of Shropshire (Shropshire Council area and Telford &amp; Wrekin Council area)</w:t>
      </w:r>
      <w:r w:rsidR="00251DDF">
        <w:rPr>
          <w:rStyle w:val="FootnoteReference"/>
          <w:rFonts w:asciiTheme="minorHAnsi" w:hAnsiTheme="minorHAnsi" w:cstheme="minorHAnsi"/>
          <w:lang w:eastAsia="en-GB"/>
        </w:rPr>
        <w:footnoteReference w:id="17"/>
      </w:r>
      <w:r>
        <w:rPr>
          <w:rFonts w:asciiTheme="minorHAnsi" w:hAnsiTheme="minorHAnsi" w:cstheme="minorHAnsi"/>
          <w:lang w:eastAsia="en-GB"/>
        </w:rPr>
        <w:t>:</w:t>
      </w:r>
    </w:p>
    <w:p w:rsidR="001D3132" w:rsidRPr="004341EC" w:rsidRDefault="00C167D0" w:rsidP="001D3132">
      <w:pPr>
        <w:pStyle w:val="ListParagraph"/>
        <w:spacing w:before="240" w:line="300" w:lineRule="auto"/>
        <w:contextualSpacing w:val="0"/>
        <w:textAlignment w:val="baseline"/>
        <w:rPr>
          <w:rFonts w:asciiTheme="minorHAnsi" w:hAnsiTheme="minorHAnsi" w:cstheme="minorHAnsi"/>
          <w:lang w:eastAsia="en-GB"/>
        </w:rPr>
      </w:pPr>
      <w:r>
        <w:rPr>
          <w:noProof/>
          <w:lang w:eastAsia="en-GB"/>
        </w:rPr>
        <w:drawing>
          <wp:inline distT="0" distB="0" distL="0" distR="0" wp14:anchorId="4C82A23E" wp14:editId="0A376EEC">
            <wp:extent cx="5743575" cy="1914525"/>
            <wp:effectExtent l="19050" t="1905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002" t="32006" r="18185" b="24843"/>
                    <a:stretch/>
                  </pic:blipFill>
                  <pic:spPr bwMode="auto">
                    <a:xfrm>
                      <a:off x="0" y="0"/>
                      <a:ext cx="5743575" cy="191452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251DDF" w:rsidRPr="00251DDF" w:rsidRDefault="00251DDF" w:rsidP="00251DDF">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szCs w:val="24"/>
          <w:lang w:eastAsia="en-GB"/>
        </w:rPr>
        <w:t>It can be seen that Shropshire Council’s Corporate carbon footprint of 76,139 tonnes CO</w:t>
      </w:r>
      <w:r w:rsidRPr="00251DDF">
        <w:rPr>
          <w:rFonts w:asciiTheme="minorHAnsi" w:hAnsiTheme="minorHAnsi" w:cstheme="minorHAnsi"/>
          <w:szCs w:val="24"/>
          <w:vertAlign w:val="subscript"/>
          <w:lang w:eastAsia="en-GB"/>
        </w:rPr>
        <w:t>2</w:t>
      </w:r>
      <w:r>
        <w:rPr>
          <w:rFonts w:asciiTheme="minorHAnsi" w:hAnsiTheme="minorHAnsi" w:cstheme="minorHAnsi"/>
          <w:szCs w:val="24"/>
          <w:lang w:eastAsia="en-GB"/>
        </w:rPr>
        <w:t>e is indeed very roughly 1% of the total carbon footprint of 6,100,000 tonnes CO</w:t>
      </w:r>
      <w:r w:rsidRPr="00251DDF">
        <w:rPr>
          <w:rFonts w:asciiTheme="minorHAnsi" w:hAnsiTheme="minorHAnsi" w:cstheme="minorHAnsi"/>
          <w:szCs w:val="24"/>
          <w:vertAlign w:val="subscript"/>
          <w:lang w:eastAsia="en-GB"/>
        </w:rPr>
        <w:t>2</w:t>
      </w:r>
      <w:r>
        <w:rPr>
          <w:rFonts w:asciiTheme="minorHAnsi" w:hAnsiTheme="minorHAnsi" w:cstheme="minorHAnsi"/>
          <w:szCs w:val="24"/>
          <w:lang w:eastAsia="en-GB"/>
        </w:rPr>
        <w:t>e for the whole of Shropshire as applied by SCAP in their ZCS plan.</w:t>
      </w:r>
    </w:p>
    <w:p w:rsidR="00A56162" w:rsidRPr="00A56162" w:rsidRDefault="00A56162" w:rsidP="00926145">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In order for the</w:t>
      </w:r>
      <w:r w:rsidR="00251DDF" w:rsidRPr="00251DDF">
        <w:rPr>
          <w:rFonts w:asciiTheme="minorHAnsi" w:hAnsiTheme="minorHAnsi" w:cstheme="minorHAnsi"/>
          <w:szCs w:val="24"/>
          <w:lang w:eastAsia="en-GB"/>
        </w:rPr>
        <w:t xml:space="preserve"> present </w:t>
      </w:r>
      <w:r>
        <w:rPr>
          <w:rFonts w:asciiTheme="minorHAnsi" w:hAnsiTheme="minorHAnsi" w:cstheme="minorHAnsi"/>
          <w:szCs w:val="24"/>
          <w:lang w:eastAsia="en-GB"/>
        </w:rPr>
        <w:t xml:space="preserve">regulation 19 Draft Plan to be sound as to its Climate Change policy it, or its Evidence </w:t>
      </w:r>
      <w:r w:rsidR="00926145">
        <w:rPr>
          <w:rFonts w:asciiTheme="minorHAnsi" w:hAnsiTheme="minorHAnsi" w:cstheme="minorHAnsi"/>
          <w:szCs w:val="24"/>
          <w:lang w:eastAsia="en-GB"/>
        </w:rPr>
        <w:t>B</w:t>
      </w:r>
      <w:r>
        <w:rPr>
          <w:rFonts w:asciiTheme="minorHAnsi" w:hAnsiTheme="minorHAnsi" w:cstheme="minorHAnsi"/>
          <w:szCs w:val="24"/>
          <w:lang w:eastAsia="en-GB"/>
        </w:rPr>
        <w:t xml:space="preserve">ase, should set out a carbon budget for the whole Shropshire Council area, </w:t>
      </w:r>
      <w:r w:rsidRPr="00926145">
        <w:rPr>
          <w:rFonts w:asciiTheme="minorHAnsi" w:hAnsiTheme="minorHAnsi" w:cstheme="minorHAnsi"/>
          <w:szCs w:val="24"/>
          <w:lang w:eastAsia="en-GB"/>
        </w:rPr>
        <w:t xml:space="preserve">consistent with the updated Climate Change Act, </w:t>
      </w:r>
      <w:r>
        <w:rPr>
          <w:rFonts w:asciiTheme="minorHAnsi" w:hAnsiTheme="minorHAnsi" w:cstheme="minorHAnsi"/>
          <w:szCs w:val="24"/>
          <w:lang w:eastAsia="en-GB"/>
        </w:rPr>
        <w:t xml:space="preserve">and a strategy as to how to achieve it.  The Plan </w:t>
      </w:r>
      <w:r w:rsidRPr="00926145">
        <w:rPr>
          <w:rFonts w:asciiTheme="minorHAnsi" w:hAnsiTheme="minorHAnsi" w:cstheme="minorHAnsi"/>
          <w:szCs w:val="24"/>
          <w:lang w:eastAsia="en-GB"/>
        </w:rPr>
        <w:t>is required to demonstrate how its policies are in line with the legally binding carbon emission reduction targets in the Climate Change Act. In summary, the Draft Plan should:</w:t>
      </w:r>
    </w:p>
    <w:p w:rsidR="00A56162" w:rsidRPr="00926145" w:rsidRDefault="00A56162" w:rsidP="002427CD">
      <w:pPr>
        <w:pStyle w:val="ListParagraph"/>
        <w:widowControl w:val="0"/>
        <w:numPr>
          <w:ilvl w:val="0"/>
          <w:numId w:val="13"/>
        </w:numPr>
        <w:autoSpaceDE w:val="0"/>
        <w:autoSpaceDN w:val="0"/>
        <w:ind w:left="567" w:hanging="567"/>
        <w:contextualSpacing w:val="0"/>
        <w:rPr>
          <w:rFonts w:asciiTheme="minorHAnsi" w:hAnsiTheme="minorHAnsi" w:cstheme="minorHAnsi"/>
          <w:szCs w:val="24"/>
          <w:lang w:eastAsia="en-GB"/>
        </w:rPr>
      </w:pPr>
      <w:r w:rsidRPr="00926145">
        <w:rPr>
          <w:rFonts w:asciiTheme="minorHAnsi" w:hAnsiTheme="minorHAnsi" w:cstheme="minorHAnsi"/>
          <w:szCs w:val="24"/>
          <w:lang w:eastAsia="en-GB"/>
        </w:rPr>
        <w:t>Take into account baseline emissions</w:t>
      </w:r>
    </w:p>
    <w:p w:rsidR="00A56162" w:rsidRPr="00926145" w:rsidRDefault="00A56162" w:rsidP="002427CD">
      <w:pPr>
        <w:pStyle w:val="ListParagraph"/>
        <w:widowControl w:val="0"/>
        <w:numPr>
          <w:ilvl w:val="0"/>
          <w:numId w:val="13"/>
        </w:numPr>
        <w:autoSpaceDE w:val="0"/>
        <w:autoSpaceDN w:val="0"/>
        <w:ind w:left="567" w:hanging="567"/>
        <w:contextualSpacing w:val="0"/>
        <w:rPr>
          <w:rFonts w:asciiTheme="minorHAnsi" w:hAnsiTheme="minorHAnsi" w:cstheme="minorHAnsi"/>
          <w:szCs w:val="24"/>
          <w:lang w:eastAsia="en-GB"/>
        </w:rPr>
      </w:pPr>
      <w:r w:rsidRPr="00926145">
        <w:rPr>
          <w:rFonts w:asciiTheme="minorHAnsi" w:hAnsiTheme="minorHAnsi" w:cstheme="minorHAnsi"/>
          <w:szCs w:val="24"/>
          <w:lang w:eastAsia="en-GB"/>
        </w:rPr>
        <w:t>Robustly evaluate future emissions, considering different emission sources, taking into account requirements set in national legislation, and a range of development scenarios</w:t>
      </w:r>
    </w:p>
    <w:p w:rsidR="00A56162" w:rsidRPr="00926145" w:rsidRDefault="00A56162" w:rsidP="002427CD">
      <w:pPr>
        <w:pStyle w:val="ListParagraph"/>
        <w:widowControl w:val="0"/>
        <w:numPr>
          <w:ilvl w:val="0"/>
          <w:numId w:val="13"/>
        </w:numPr>
        <w:autoSpaceDE w:val="0"/>
        <w:autoSpaceDN w:val="0"/>
        <w:ind w:left="567" w:hanging="567"/>
        <w:contextualSpacing w:val="0"/>
        <w:rPr>
          <w:rFonts w:asciiTheme="minorHAnsi" w:hAnsiTheme="minorHAnsi" w:cstheme="minorHAnsi"/>
          <w:szCs w:val="24"/>
          <w:lang w:eastAsia="en-GB"/>
        </w:rPr>
      </w:pPr>
      <w:r w:rsidRPr="00926145">
        <w:rPr>
          <w:rFonts w:asciiTheme="minorHAnsi" w:hAnsiTheme="minorHAnsi" w:cstheme="minorHAnsi"/>
          <w:szCs w:val="24"/>
          <w:lang w:eastAsia="en-GB"/>
        </w:rPr>
        <w:lastRenderedPageBreak/>
        <w:t>Adopt proactive strategies to mitigate carbon emissions in line with the Climate Change Act which requires a 100% reduction by 2050.</w:t>
      </w:r>
    </w:p>
    <w:p w:rsidR="00A56162" w:rsidRPr="00926145" w:rsidRDefault="00A56162" w:rsidP="00926145">
      <w:pPr>
        <w:pStyle w:val="ListParagraph"/>
        <w:numPr>
          <w:ilvl w:val="1"/>
          <w:numId w:val="1"/>
        </w:numPr>
        <w:spacing w:before="240" w:line="300" w:lineRule="auto"/>
        <w:ind w:left="0" w:hanging="567"/>
        <w:contextualSpacing w:val="0"/>
        <w:textAlignment w:val="baseline"/>
        <w:rPr>
          <w:rFonts w:asciiTheme="minorHAnsi" w:hAnsiTheme="minorHAnsi" w:cstheme="minorHAnsi"/>
        </w:rPr>
      </w:pPr>
      <w:r w:rsidRPr="00926145">
        <w:rPr>
          <w:rFonts w:asciiTheme="minorHAnsi" w:hAnsiTheme="minorHAnsi" w:cstheme="minorHAnsi"/>
          <w:w w:val="105"/>
        </w:rPr>
        <w:t xml:space="preserve">The carbon budget should show baseline emissions and the impact of development and mitigating policies on this emission curve. </w:t>
      </w:r>
      <w:r w:rsidR="00926145">
        <w:rPr>
          <w:rFonts w:asciiTheme="minorHAnsi" w:hAnsiTheme="minorHAnsi" w:cstheme="minorHAnsi"/>
          <w:w w:val="105"/>
        </w:rPr>
        <w:t xml:space="preserve"> </w:t>
      </w:r>
      <w:r w:rsidRPr="00926145">
        <w:rPr>
          <w:rFonts w:asciiTheme="minorHAnsi" w:hAnsiTheme="minorHAnsi" w:cstheme="minorHAnsi"/>
          <w:w w:val="105"/>
        </w:rPr>
        <w:t xml:space="preserve">The policies should aim to secure radical carbon reductions in line with a trajectory for the Plan area that is consistent with the UK achieving full carbon neutrality by 2050, and in the short term should test the policy options available to achieve the highest level of ambition possible to meet this goal. To the </w:t>
      </w:r>
      <w:r w:rsidR="00926145" w:rsidRPr="00926145">
        <w:rPr>
          <w:rFonts w:asciiTheme="minorHAnsi" w:hAnsiTheme="minorHAnsi" w:cstheme="minorHAnsi"/>
          <w:w w:val="105"/>
        </w:rPr>
        <w:t xml:space="preserve">greatest </w:t>
      </w:r>
      <w:r w:rsidRPr="00926145">
        <w:rPr>
          <w:rFonts w:asciiTheme="minorHAnsi" w:hAnsiTheme="minorHAnsi" w:cstheme="minorHAnsi"/>
          <w:w w:val="105"/>
        </w:rPr>
        <w:t>extent possible, all new development should be zero carbon given that the country's net zero target must be met in the next 30 years.</w:t>
      </w:r>
    </w:p>
    <w:p w:rsidR="00A56162" w:rsidRPr="00926145" w:rsidRDefault="00926145" w:rsidP="00926145">
      <w:pPr>
        <w:pStyle w:val="ListParagraph"/>
        <w:numPr>
          <w:ilvl w:val="1"/>
          <w:numId w:val="1"/>
        </w:numPr>
        <w:spacing w:before="240" w:line="300" w:lineRule="auto"/>
        <w:ind w:left="0" w:hanging="567"/>
        <w:contextualSpacing w:val="0"/>
        <w:textAlignment w:val="baseline"/>
        <w:rPr>
          <w:rFonts w:asciiTheme="minorHAnsi" w:hAnsiTheme="minorHAnsi" w:cstheme="minorHAnsi"/>
        </w:rPr>
      </w:pPr>
      <w:r>
        <w:rPr>
          <w:rFonts w:asciiTheme="minorHAnsi" w:hAnsiTheme="minorHAnsi" w:cstheme="minorHAnsi"/>
          <w:w w:val="105"/>
        </w:rPr>
        <w:t>This has</w:t>
      </w:r>
      <w:r w:rsidR="00A56162" w:rsidRPr="00926145">
        <w:rPr>
          <w:rFonts w:asciiTheme="minorHAnsi" w:hAnsiTheme="minorHAnsi" w:cstheme="minorHAnsi"/>
          <w:w w:val="105"/>
        </w:rPr>
        <w:t xml:space="preserve"> </w:t>
      </w:r>
      <w:r>
        <w:rPr>
          <w:rFonts w:asciiTheme="minorHAnsi" w:hAnsiTheme="minorHAnsi" w:cstheme="minorHAnsi"/>
          <w:w w:val="105"/>
        </w:rPr>
        <w:t xml:space="preserve">not </w:t>
      </w:r>
      <w:r w:rsidR="00A56162" w:rsidRPr="00926145">
        <w:rPr>
          <w:rFonts w:asciiTheme="minorHAnsi" w:hAnsiTheme="minorHAnsi" w:cstheme="minorHAnsi"/>
          <w:w w:val="105"/>
        </w:rPr>
        <w:t>been done</w:t>
      </w:r>
      <w:r>
        <w:rPr>
          <w:rFonts w:asciiTheme="minorHAnsi" w:hAnsiTheme="minorHAnsi" w:cstheme="minorHAnsi"/>
          <w:w w:val="105"/>
        </w:rPr>
        <w:t xml:space="preserve"> within the Draft Plan</w:t>
      </w:r>
      <w:r w:rsidR="00A56162" w:rsidRPr="00926145">
        <w:rPr>
          <w:rFonts w:asciiTheme="minorHAnsi" w:hAnsiTheme="minorHAnsi" w:cstheme="minorHAnsi"/>
          <w:w w:val="105"/>
        </w:rPr>
        <w:t xml:space="preserve">. </w:t>
      </w:r>
      <w:r>
        <w:rPr>
          <w:rFonts w:asciiTheme="minorHAnsi" w:hAnsiTheme="minorHAnsi" w:cstheme="minorHAnsi"/>
          <w:w w:val="105"/>
        </w:rPr>
        <w:t xml:space="preserve"> </w:t>
      </w:r>
      <w:r w:rsidR="00A56162" w:rsidRPr="00926145">
        <w:rPr>
          <w:rFonts w:asciiTheme="minorHAnsi" w:hAnsiTheme="minorHAnsi" w:cstheme="minorHAnsi"/>
          <w:w w:val="105"/>
        </w:rPr>
        <w:t xml:space="preserve">References to reducing carbon emissions are general rather than objectively measurable as required. </w:t>
      </w:r>
      <w:r>
        <w:rPr>
          <w:rFonts w:asciiTheme="minorHAnsi" w:hAnsiTheme="minorHAnsi" w:cstheme="minorHAnsi"/>
          <w:w w:val="105"/>
        </w:rPr>
        <w:t xml:space="preserve"> That means that the Plan</w:t>
      </w:r>
      <w:r w:rsidR="00A56162" w:rsidRPr="00926145">
        <w:rPr>
          <w:rFonts w:asciiTheme="minorHAnsi" w:hAnsiTheme="minorHAnsi" w:cstheme="minorHAnsi"/>
          <w:w w:val="105"/>
        </w:rPr>
        <w:t xml:space="preserve"> is not legally sound in terms of its climate change mitigation policies and duties.</w:t>
      </w:r>
    </w:p>
    <w:p w:rsidR="00A56162" w:rsidRPr="00B53776" w:rsidRDefault="00B53776" w:rsidP="00251DDF">
      <w:pPr>
        <w:pStyle w:val="ListParagraph"/>
        <w:numPr>
          <w:ilvl w:val="1"/>
          <w:numId w:val="1"/>
        </w:numPr>
        <w:spacing w:before="240" w:line="300" w:lineRule="auto"/>
        <w:ind w:left="0" w:hanging="567"/>
        <w:contextualSpacing w:val="0"/>
        <w:textAlignment w:val="baseline"/>
        <w:rPr>
          <w:rFonts w:asciiTheme="minorHAnsi" w:hAnsiTheme="minorHAnsi" w:cstheme="minorHAnsi"/>
          <w:w w:val="105"/>
        </w:rPr>
      </w:pPr>
      <w:r>
        <w:rPr>
          <w:rFonts w:asciiTheme="minorHAnsi" w:hAnsiTheme="minorHAnsi" w:cstheme="minorHAnsi"/>
          <w:szCs w:val="24"/>
          <w:lang w:eastAsia="en-GB"/>
        </w:rPr>
        <w:t xml:space="preserve">The statement is made in paragraph 3.29 of the plan that </w:t>
      </w:r>
      <w:r w:rsidRPr="00B53776">
        <w:rPr>
          <w:rFonts w:asciiTheme="minorHAnsi" w:hAnsiTheme="minorHAnsi" w:cstheme="minorHAnsi"/>
          <w:i/>
          <w:szCs w:val="24"/>
          <w:lang w:eastAsia="en-GB"/>
        </w:rPr>
        <w:t>“the widespread and potentially devastating impacts of climate change place a responsibility on us all to minimise our carbon emissions, and this must be seen as an essential component of all development”</w:t>
      </w:r>
      <w:r>
        <w:rPr>
          <w:rFonts w:asciiTheme="minorHAnsi" w:hAnsiTheme="minorHAnsi" w:cstheme="minorHAnsi"/>
          <w:i/>
          <w:szCs w:val="24"/>
          <w:lang w:eastAsia="en-GB"/>
        </w:rPr>
        <w:t xml:space="preserve">.  </w:t>
      </w:r>
      <w:r w:rsidRPr="00B53776">
        <w:rPr>
          <w:rFonts w:asciiTheme="minorHAnsi" w:hAnsiTheme="minorHAnsi" w:cstheme="minorHAnsi"/>
          <w:w w:val="105"/>
        </w:rPr>
        <w:t xml:space="preserve">However, </w:t>
      </w:r>
      <w:r>
        <w:rPr>
          <w:rFonts w:asciiTheme="minorHAnsi" w:hAnsiTheme="minorHAnsi" w:cstheme="minorHAnsi"/>
          <w:w w:val="105"/>
        </w:rPr>
        <w:t>the actual policies within the plan do not bear out that sense of urgency.</w:t>
      </w:r>
    </w:p>
    <w:p w:rsidR="00B53776" w:rsidRDefault="00B53776" w:rsidP="00B53776">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For instance, the very first policy in SP3 is 1a which aims to reduce carbon emissions by:</w:t>
      </w:r>
    </w:p>
    <w:p w:rsidR="00B53776" w:rsidRPr="00B53776" w:rsidRDefault="00B53776" w:rsidP="00B53776">
      <w:pPr>
        <w:pStyle w:val="ListParagraph"/>
        <w:spacing w:before="120" w:line="300" w:lineRule="auto"/>
        <w:ind w:left="567"/>
        <w:contextualSpacing w:val="0"/>
        <w:textAlignment w:val="baseline"/>
        <w:rPr>
          <w:rFonts w:asciiTheme="minorHAnsi" w:hAnsiTheme="minorHAnsi" w:cstheme="minorHAnsi"/>
          <w:i/>
          <w:szCs w:val="24"/>
          <w:lang w:eastAsia="en-GB"/>
        </w:rPr>
      </w:pPr>
      <w:r>
        <w:rPr>
          <w:rFonts w:asciiTheme="minorHAnsi" w:hAnsiTheme="minorHAnsi" w:cstheme="minorHAnsi"/>
          <w:i/>
          <w:color w:val="000000"/>
          <w:szCs w:val="24"/>
        </w:rPr>
        <w:t>“</w:t>
      </w:r>
      <w:r w:rsidRPr="00B53776">
        <w:rPr>
          <w:rFonts w:asciiTheme="minorHAnsi" w:hAnsiTheme="minorHAnsi" w:cstheme="minorHAnsi"/>
          <w:i/>
          <w:color w:val="000000"/>
          <w:szCs w:val="24"/>
        </w:rPr>
        <w:t>Minimising the need to travel and maximising the ability to make trips by sustainable modes of transport, including through the urban approach to development identified within Policy SP2</w:t>
      </w:r>
      <w:r>
        <w:rPr>
          <w:rFonts w:asciiTheme="minorHAnsi" w:hAnsiTheme="minorHAnsi" w:cstheme="minorHAnsi"/>
          <w:i/>
          <w:color w:val="000000"/>
          <w:szCs w:val="24"/>
        </w:rPr>
        <w:t>”</w:t>
      </w:r>
    </w:p>
    <w:p w:rsidR="00B53776" w:rsidRDefault="00B53776" w:rsidP="00251DD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w:t>
      </w:r>
      <w:r w:rsidR="00431CE8">
        <w:rPr>
          <w:rFonts w:asciiTheme="minorHAnsi" w:hAnsiTheme="minorHAnsi" w:cstheme="minorHAnsi"/>
          <w:szCs w:val="24"/>
          <w:lang w:eastAsia="en-GB"/>
        </w:rPr>
        <w:t>is policy is weak to the point of being unsound because (1) th</w:t>
      </w:r>
      <w:r>
        <w:rPr>
          <w:rFonts w:asciiTheme="minorHAnsi" w:hAnsiTheme="minorHAnsi" w:cstheme="minorHAnsi"/>
          <w:szCs w:val="24"/>
          <w:lang w:eastAsia="en-GB"/>
        </w:rPr>
        <w:t xml:space="preserve">ere is no sense of how much this will contribute to reducing emissions; </w:t>
      </w:r>
      <w:r w:rsidR="00431CE8">
        <w:rPr>
          <w:rFonts w:asciiTheme="minorHAnsi" w:hAnsiTheme="minorHAnsi" w:cstheme="minorHAnsi"/>
          <w:szCs w:val="24"/>
          <w:lang w:eastAsia="en-GB"/>
        </w:rPr>
        <w:t xml:space="preserve">(2) </w:t>
      </w:r>
      <w:r>
        <w:rPr>
          <w:rFonts w:asciiTheme="minorHAnsi" w:hAnsiTheme="minorHAnsi" w:cstheme="minorHAnsi"/>
          <w:szCs w:val="24"/>
          <w:lang w:eastAsia="en-GB"/>
        </w:rPr>
        <w:t xml:space="preserve">a large part of development is </w:t>
      </w:r>
      <w:r w:rsidR="00431CE8">
        <w:rPr>
          <w:rFonts w:asciiTheme="minorHAnsi" w:hAnsiTheme="minorHAnsi" w:cstheme="minorHAnsi"/>
          <w:szCs w:val="24"/>
          <w:lang w:eastAsia="en-GB"/>
        </w:rPr>
        <w:t>still proposed for rural settlements which rely on the private motor car for transport; and (3) there is no integrated active travel plan to actually promote sustainable modes of transport and to make them the dominant form of transport.</w:t>
      </w:r>
    </w:p>
    <w:p w:rsidR="00DC486B" w:rsidRPr="00DC486B" w:rsidRDefault="00DC486B" w:rsidP="00DC486B">
      <w:pPr>
        <w:pStyle w:val="ListParagraph"/>
        <w:numPr>
          <w:ilvl w:val="1"/>
          <w:numId w:val="1"/>
        </w:numPr>
        <w:spacing w:before="240" w:line="300" w:lineRule="auto"/>
        <w:ind w:left="0" w:hanging="567"/>
        <w:contextualSpacing w:val="0"/>
        <w:textAlignment w:val="baseline"/>
        <w:rPr>
          <w:color w:val="214B7C"/>
          <w:w w:val="105"/>
        </w:rPr>
      </w:pPr>
      <w:r>
        <w:rPr>
          <w:rFonts w:asciiTheme="minorHAnsi" w:hAnsiTheme="minorHAnsi" w:cstheme="minorHAnsi"/>
          <w:szCs w:val="24"/>
          <w:lang w:eastAsia="en-GB"/>
        </w:rPr>
        <w:t>O</w:t>
      </w:r>
      <w:r w:rsidR="00431CE8">
        <w:rPr>
          <w:rFonts w:asciiTheme="minorHAnsi" w:hAnsiTheme="minorHAnsi" w:cstheme="minorHAnsi"/>
          <w:szCs w:val="24"/>
          <w:lang w:eastAsia="en-GB"/>
        </w:rPr>
        <w:t>ther example</w:t>
      </w:r>
      <w:r>
        <w:rPr>
          <w:rFonts w:asciiTheme="minorHAnsi" w:hAnsiTheme="minorHAnsi" w:cstheme="minorHAnsi"/>
          <w:szCs w:val="24"/>
          <w:lang w:eastAsia="en-GB"/>
        </w:rPr>
        <w:t>s are</w:t>
      </w:r>
    </w:p>
    <w:p w:rsidR="00431CE8" w:rsidRPr="00DC486B" w:rsidRDefault="00DC486B" w:rsidP="002427CD">
      <w:pPr>
        <w:pStyle w:val="ListParagraph"/>
        <w:numPr>
          <w:ilvl w:val="0"/>
          <w:numId w:val="14"/>
        </w:numPr>
        <w:spacing w:before="120" w:line="300" w:lineRule="auto"/>
        <w:ind w:left="567" w:hanging="567"/>
        <w:contextualSpacing w:val="0"/>
        <w:textAlignment w:val="baseline"/>
        <w:rPr>
          <w:color w:val="214B7C"/>
          <w:w w:val="105"/>
        </w:rPr>
      </w:pPr>
      <w:r>
        <w:rPr>
          <w:rFonts w:asciiTheme="minorHAnsi" w:hAnsiTheme="minorHAnsi" w:cstheme="minorHAnsi"/>
          <w:szCs w:val="24"/>
          <w:lang w:eastAsia="en-GB"/>
        </w:rPr>
        <w:t>Clause</w:t>
      </w:r>
      <w:r w:rsidR="00431CE8">
        <w:rPr>
          <w:rFonts w:asciiTheme="minorHAnsi" w:hAnsiTheme="minorHAnsi" w:cstheme="minorHAnsi"/>
          <w:szCs w:val="24"/>
          <w:lang w:eastAsia="en-GB"/>
        </w:rPr>
        <w:t xml:space="preserve"> 1g</w:t>
      </w:r>
      <w:r w:rsidR="00F23762">
        <w:rPr>
          <w:rFonts w:asciiTheme="minorHAnsi" w:hAnsiTheme="minorHAnsi" w:cstheme="minorHAnsi"/>
          <w:szCs w:val="24"/>
          <w:lang w:eastAsia="en-GB"/>
        </w:rPr>
        <w:t>:</w:t>
      </w:r>
      <w:r w:rsidR="00FC1928">
        <w:rPr>
          <w:rFonts w:asciiTheme="minorHAnsi" w:hAnsiTheme="minorHAnsi" w:cstheme="minorHAnsi"/>
          <w:szCs w:val="24"/>
          <w:lang w:eastAsia="en-GB"/>
        </w:rPr>
        <w:t xml:space="preserve"> </w:t>
      </w:r>
      <w:r w:rsidR="00FC1928" w:rsidRPr="00FC1928">
        <w:rPr>
          <w:rFonts w:asciiTheme="minorHAnsi" w:hAnsiTheme="minorHAnsi" w:cstheme="minorHAnsi"/>
          <w:szCs w:val="24"/>
          <w:lang w:eastAsia="en-GB"/>
        </w:rPr>
        <w:t>promoting fabric energy efficiency retrofits of existing buildings.  This is constructive as a general, high level statement, but its aim should be spelt out within policy DP23 Conserving and Enhancing the Historic Environment.  This is the main policy covering c</w:t>
      </w:r>
      <w:r w:rsidR="00FF4557">
        <w:rPr>
          <w:rFonts w:asciiTheme="minorHAnsi" w:hAnsiTheme="minorHAnsi" w:cstheme="minorHAnsi"/>
          <w:szCs w:val="24"/>
          <w:lang w:eastAsia="en-GB"/>
        </w:rPr>
        <w:t>onservation and listed building</w:t>
      </w:r>
      <w:r w:rsidR="00FC1928" w:rsidRPr="00FC1928">
        <w:rPr>
          <w:rFonts w:asciiTheme="minorHAnsi" w:hAnsiTheme="minorHAnsi" w:cstheme="minorHAnsi"/>
          <w:szCs w:val="24"/>
          <w:lang w:eastAsia="en-GB"/>
        </w:rPr>
        <w:t xml:space="preserve">s, </w:t>
      </w:r>
      <w:r w:rsidR="00FC1928">
        <w:rPr>
          <w:rFonts w:asciiTheme="minorHAnsi" w:hAnsiTheme="minorHAnsi" w:cstheme="minorHAnsi"/>
          <w:szCs w:val="24"/>
          <w:lang w:eastAsia="en-GB"/>
        </w:rPr>
        <w:t>o</w:t>
      </w:r>
      <w:r w:rsidR="00FC1928" w:rsidRPr="00FC1928">
        <w:rPr>
          <w:rFonts w:asciiTheme="minorHAnsi" w:hAnsiTheme="minorHAnsi" w:cstheme="minorHAnsi"/>
          <w:szCs w:val="24"/>
          <w:lang w:eastAsia="en-GB"/>
        </w:rPr>
        <w:t>f which there are a great many in Shropshire, yet it makes no mention of energy efficiency retrofitting.</w:t>
      </w:r>
    </w:p>
    <w:p w:rsidR="00DC486B" w:rsidRDefault="00DC486B" w:rsidP="002427CD">
      <w:pPr>
        <w:pStyle w:val="ListParagraph"/>
        <w:numPr>
          <w:ilvl w:val="0"/>
          <w:numId w:val="14"/>
        </w:numPr>
        <w:spacing w:before="12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Clause 2</w:t>
      </w:r>
      <w:r w:rsidR="00F23762">
        <w:rPr>
          <w:rFonts w:asciiTheme="minorHAnsi" w:hAnsiTheme="minorHAnsi" w:cstheme="minorHAnsi"/>
          <w:szCs w:val="24"/>
          <w:lang w:eastAsia="en-GB"/>
        </w:rPr>
        <w:t xml:space="preserve">d: </w:t>
      </w:r>
      <w:r w:rsidR="00F23762" w:rsidRPr="00F23762">
        <w:rPr>
          <w:rFonts w:asciiTheme="minorHAnsi" w:hAnsiTheme="minorHAnsi" w:cstheme="minorHAnsi"/>
          <w:szCs w:val="24"/>
          <w:lang w:eastAsia="en-GB"/>
        </w:rPr>
        <w:t xml:space="preserve">supports community energy proposals, but this </w:t>
      </w:r>
      <w:r w:rsidR="00F23762">
        <w:rPr>
          <w:rFonts w:asciiTheme="minorHAnsi" w:hAnsiTheme="minorHAnsi" w:cstheme="minorHAnsi"/>
          <w:szCs w:val="24"/>
          <w:lang w:eastAsia="en-GB"/>
        </w:rPr>
        <w:t xml:space="preserve">is not </w:t>
      </w:r>
      <w:r w:rsidR="00F23762" w:rsidRPr="00F23762">
        <w:rPr>
          <w:rFonts w:asciiTheme="minorHAnsi" w:hAnsiTheme="minorHAnsi" w:cstheme="minorHAnsi"/>
          <w:szCs w:val="24"/>
          <w:lang w:eastAsia="en-GB"/>
        </w:rPr>
        <w:t>taken up or elaborated upon in policy DP26</w:t>
      </w:r>
    </w:p>
    <w:p w:rsidR="00F23762" w:rsidRDefault="00F23762" w:rsidP="002427CD">
      <w:pPr>
        <w:pStyle w:val="ListParagraph"/>
        <w:numPr>
          <w:ilvl w:val="0"/>
          <w:numId w:val="14"/>
        </w:numPr>
        <w:spacing w:before="12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lastRenderedPageBreak/>
        <w:t>C</w:t>
      </w:r>
      <w:r w:rsidRPr="00F23762">
        <w:rPr>
          <w:rFonts w:asciiTheme="minorHAnsi" w:hAnsiTheme="minorHAnsi" w:cstheme="minorHAnsi"/>
          <w:szCs w:val="24"/>
          <w:lang w:eastAsia="en-GB"/>
        </w:rPr>
        <w:t>lause 3</w:t>
      </w:r>
      <w:r>
        <w:rPr>
          <w:rFonts w:asciiTheme="minorHAnsi" w:hAnsiTheme="minorHAnsi" w:cstheme="minorHAnsi"/>
          <w:szCs w:val="24"/>
          <w:lang w:eastAsia="en-GB"/>
        </w:rPr>
        <w:t>:</w:t>
      </w:r>
      <w:r w:rsidRPr="00F23762">
        <w:rPr>
          <w:rFonts w:asciiTheme="minorHAnsi" w:hAnsiTheme="minorHAnsi" w:cstheme="minorHAnsi"/>
          <w:szCs w:val="24"/>
          <w:lang w:eastAsia="en-GB"/>
        </w:rPr>
        <w:t xml:space="preserve"> </w:t>
      </w:r>
      <w:r>
        <w:rPr>
          <w:rFonts w:asciiTheme="minorHAnsi" w:hAnsiTheme="minorHAnsi" w:cstheme="minorHAnsi"/>
          <w:szCs w:val="24"/>
          <w:lang w:eastAsia="en-GB"/>
        </w:rPr>
        <w:t xml:space="preserve">is </w:t>
      </w:r>
      <w:r w:rsidRPr="00F23762">
        <w:rPr>
          <w:rFonts w:asciiTheme="minorHAnsi" w:hAnsiTheme="minorHAnsi" w:cstheme="minorHAnsi"/>
          <w:szCs w:val="24"/>
          <w:lang w:eastAsia="en-GB"/>
        </w:rPr>
        <w:t>about maximising carbon sequestration, but this could be better integr</w:t>
      </w:r>
      <w:r>
        <w:rPr>
          <w:rFonts w:asciiTheme="minorHAnsi" w:hAnsiTheme="minorHAnsi" w:cstheme="minorHAnsi"/>
          <w:szCs w:val="24"/>
          <w:lang w:eastAsia="en-GB"/>
        </w:rPr>
        <w:t>ated with policies DP14, Green Infrastructure and DP16,</w:t>
      </w:r>
      <w:r w:rsidRPr="00F23762">
        <w:rPr>
          <w:rFonts w:asciiTheme="minorHAnsi" w:hAnsiTheme="minorHAnsi" w:cstheme="minorHAnsi"/>
          <w:szCs w:val="24"/>
          <w:lang w:eastAsia="en-GB"/>
        </w:rPr>
        <w:t xml:space="preserve"> Landscaping of New Development</w:t>
      </w:r>
      <w:r>
        <w:rPr>
          <w:rFonts w:asciiTheme="minorHAnsi" w:hAnsiTheme="minorHAnsi" w:cstheme="minorHAnsi"/>
          <w:szCs w:val="24"/>
          <w:lang w:eastAsia="en-GB"/>
        </w:rPr>
        <w:t>, neither of which make any</w:t>
      </w:r>
      <w:r w:rsidRPr="00F23762">
        <w:rPr>
          <w:rFonts w:asciiTheme="minorHAnsi" w:hAnsiTheme="minorHAnsi" w:cstheme="minorHAnsi"/>
          <w:szCs w:val="24"/>
          <w:lang w:eastAsia="en-GB"/>
        </w:rPr>
        <w:t xml:space="preserve"> further mention of sequestration</w:t>
      </w:r>
      <w:r>
        <w:rPr>
          <w:rFonts w:asciiTheme="minorHAnsi" w:hAnsiTheme="minorHAnsi" w:cstheme="minorHAnsi"/>
          <w:szCs w:val="24"/>
          <w:lang w:eastAsia="en-GB"/>
        </w:rPr>
        <w:t>.</w:t>
      </w:r>
    </w:p>
    <w:p w:rsidR="00F23762" w:rsidRPr="00F23762" w:rsidRDefault="00F23762" w:rsidP="002427CD">
      <w:pPr>
        <w:pStyle w:val="ListParagraph"/>
        <w:numPr>
          <w:ilvl w:val="0"/>
          <w:numId w:val="14"/>
        </w:numPr>
        <w:spacing w:before="120" w:line="300" w:lineRule="auto"/>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Clause 4: this </w:t>
      </w:r>
      <w:r w:rsidRPr="00F23762">
        <w:rPr>
          <w:rFonts w:asciiTheme="minorHAnsi" w:hAnsiTheme="minorHAnsi" w:cstheme="minorHAnsi"/>
          <w:szCs w:val="24"/>
          <w:lang w:eastAsia="en-GB"/>
        </w:rPr>
        <w:t xml:space="preserve">makes good mention of climate change adaptation, but it </w:t>
      </w:r>
      <w:r>
        <w:rPr>
          <w:rFonts w:asciiTheme="minorHAnsi" w:hAnsiTheme="minorHAnsi" w:cstheme="minorHAnsi"/>
          <w:szCs w:val="24"/>
          <w:lang w:eastAsia="en-GB"/>
        </w:rPr>
        <w:t>w</w:t>
      </w:r>
      <w:r w:rsidRPr="00F23762">
        <w:rPr>
          <w:rFonts w:asciiTheme="minorHAnsi" w:hAnsiTheme="minorHAnsi" w:cstheme="minorHAnsi"/>
          <w:szCs w:val="24"/>
          <w:lang w:eastAsia="en-GB"/>
        </w:rPr>
        <w:t>ould benefit from having more detail on how new development is to integrate climate adaptation mea</w:t>
      </w:r>
      <w:r>
        <w:rPr>
          <w:rFonts w:asciiTheme="minorHAnsi" w:hAnsiTheme="minorHAnsi" w:cstheme="minorHAnsi"/>
          <w:szCs w:val="24"/>
          <w:lang w:eastAsia="en-GB"/>
        </w:rPr>
        <w:t>sures.  Policy DP14, Green Infrastructure, does however cross refer to this policy.</w:t>
      </w:r>
    </w:p>
    <w:p w:rsidR="00431CE8" w:rsidRDefault="00FC1928" w:rsidP="00251DD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sidRPr="00FC1928">
        <w:rPr>
          <w:rFonts w:asciiTheme="minorHAnsi" w:hAnsiTheme="minorHAnsi" w:cstheme="minorHAnsi"/>
          <w:szCs w:val="24"/>
          <w:lang w:eastAsia="en-GB"/>
        </w:rPr>
        <w:t>T</w:t>
      </w:r>
      <w:r>
        <w:rPr>
          <w:rFonts w:asciiTheme="minorHAnsi" w:hAnsiTheme="minorHAnsi" w:cstheme="minorHAnsi"/>
          <w:szCs w:val="24"/>
          <w:lang w:eastAsia="en-GB"/>
        </w:rPr>
        <w:t>he conclusion</w:t>
      </w:r>
      <w:r w:rsidR="00431CE8" w:rsidRPr="00FC1928">
        <w:rPr>
          <w:rFonts w:asciiTheme="minorHAnsi" w:hAnsiTheme="minorHAnsi" w:cstheme="minorHAnsi"/>
          <w:szCs w:val="24"/>
          <w:lang w:eastAsia="en-GB"/>
        </w:rPr>
        <w:t xml:space="preserve"> </w:t>
      </w:r>
      <w:r w:rsidRPr="00FC1928">
        <w:rPr>
          <w:rFonts w:asciiTheme="minorHAnsi" w:hAnsiTheme="minorHAnsi" w:cstheme="minorHAnsi"/>
          <w:szCs w:val="24"/>
          <w:lang w:eastAsia="en-GB"/>
        </w:rPr>
        <w:t xml:space="preserve">from other Local Authorities is that </w:t>
      </w:r>
      <w:r w:rsidR="00431CE8" w:rsidRPr="00FC1928">
        <w:rPr>
          <w:rFonts w:asciiTheme="minorHAnsi" w:hAnsiTheme="minorHAnsi" w:cstheme="minorHAnsi"/>
          <w:szCs w:val="24"/>
          <w:lang w:eastAsia="en-GB"/>
        </w:rPr>
        <w:t xml:space="preserve">it would be very difficult to achieve the required carbon reduction trajectory without new development being developed to a zero-carbon standard, due to the additional emissions growth inherent in new development commitments. </w:t>
      </w:r>
      <w:r w:rsidRPr="00FC1928">
        <w:rPr>
          <w:rFonts w:asciiTheme="minorHAnsi" w:hAnsiTheme="minorHAnsi" w:cstheme="minorHAnsi"/>
          <w:szCs w:val="24"/>
          <w:lang w:eastAsia="en-GB"/>
        </w:rPr>
        <w:t xml:space="preserve">There will </w:t>
      </w:r>
      <w:r>
        <w:rPr>
          <w:rFonts w:asciiTheme="minorHAnsi" w:hAnsiTheme="minorHAnsi" w:cstheme="minorHAnsi"/>
          <w:szCs w:val="24"/>
          <w:lang w:eastAsia="en-GB"/>
        </w:rPr>
        <w:t xml:space="preserve">also </w:t>
      </w:r>
      <w:r w:rsidRPr="00FC1928">
        <w:rPr>
          <w:rFonts w:asciiTheme="minorHAnsi" w:hAnsiTheme="minorHAnsi" w:cstheme="minorHAnsi"/>
          <w:szCs w:val="24"/>
          <w:lang w:eastAsia="en-GB"/>
        </w:rPr>
        <w:t>therefore</w:t>
      </w:r>
      <w:r w:rsidR="00431CE8" w:rsidRPr="00FC1928">
        <w:rPr>
          <w:rFonts w:asciiTheme="minorHAnsi" w:hAnsiTheme="minorHAnsi" w:cstheme="minorHAnsi"/>
          <w:szCs w:val="24"/>
          <w:lang w:eastAsia="en-GB"/>
        </w:rPr>
        <w:t xml:space="preserve"> need </w:t>
      </w:r>
      <w:r w:rsidRPr="00FC1928">
        <w:rPr>
          <w:rFonts w:asciiTheme="minorHAnsi" w:hAnsiTheme="minorHAnsi" w:cstheme="minorHAnsi"/>
          <w:szCs w:val="24"/>
          <w:lang w:eastAsia="en-GB"/>
        </w:rPr>
        <w:t>to be</w:t>
      </w:r>
      <w:r w:rsidR="00431CE8" w:rsidRPr="00FC1928">
        <w:rPr>
          <w:rFonts w:asciiTheme="minorHAnsi" w:hAnsiTheme="minorHAnsi" w:cstheme="minorHAnsi"/>
          <w:szCs w:val="24"/>
          <w:lang w:eastAsia="en-GB"/>
        </w:rPr>
        <w:t xml:space="preserve"> very ambitious planning policies around building performance</w:t>
      </w:r>
      <w:r w:rsidRPr="00FC1928">
        <w:rPr>
          <w:rFonts w:asciiTheme="minorHAnsi" w:hAnsiTheme="minorHAnsi" w:cstheme="minorHAnsi"/>
          <w:szCs w:val="24"/>
          <w:lang w:eastAsia="en-GB"/>
        </w:rPr>
        <w:t>.</w:t>
      </w:r>
    </w:p>
    <w:p w:rsidR="00431CE8" w:rsidRPr="005307CB" w:rsidRDefault="00431CE8" w:rsidP="00431CE8">
      <w:pPr>
        <w:pStyle w:val="Heading2"/>
        <w:keepNext w:val="0"/>
        <w:spacing w:before="240" w:after="120"/>
        <w:rPr>
          <w:rFonts w:asciiTheme="minorHAnsi" w:eastAsiaTheme="minorHAnsi" w:hAnsiTheme="minorHAnsi" w:cstheme="minorHAnsi"/>
          <w:b/>
          <w:i/>
          <w:color w:val="0070C0"/>
          <w:sz w:val="28"/>
          <w:szCs w:val="28"/>
          <w:lang w:eastAsia="en-GB"/>
        </w:rPr>
      </w:pPr>
      <w:bookmarkStart w:id="23" w:name="_Toc65242910"/>
      <w:r w:rsidRPr="005307CB">
        <w:rPr>
          <w:rFonts w:asciiTheme="minorHAnsi" w:eastAsiaTheme="minorHAnsi" w:hAnsiTheme="minorHAnsi" w:cstheme="minorHAnsi"/>
          <w:b/>
          <w:i/>
          <w:color w:val="0070C0"/>
          <w:sz w:val="28"/>
          <w:szCs w:val="28"/>
          <w:lang w:eastAsia="en-GB"/>
        </w:rPr>
        <w:t>Modification(s) considered necessary</w:t>
      </w:r>
      <w:bookmarkEnd w:id="23"/>
    </w:p>
    <w:p w:rsidR="00431CE8" w:rsidRDefault="00431CE8" w:rsidP="00431CE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Draft Plan must include a carbon budget and a strategy for achieving it.</w:t>
      </w:r>
    </w:p>
    <w:p w:rsidR="00431CE8" w:rsidRDefault="00FC1928" w:rsidP="00431CE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intentions within p</w:t>
      </w:r>
      <w:r w:rsidR="00431CE8">
        <w:rPr>
          <w:rFonts w:asciiTheme="minorHAnsi" w:hAnsiTheme="minorHAnsi" w:cstheme="minorHAnsi"/>
          <w:lang w:eastAsia="en-GB"/>
        </w:rPr>
        <w:t xml:space="preserve">olicy SP3 must be </w:t>
      </w:r>
      <w:r>
        <w:rPr>
          <w:rFonts w:asciiTheme="minorHAnsi" w:hAnsiTheme="minorHAnsi" w:cstheme="minorHAnsi"/>
          <w:lang w:eastAsia="en-GB"/>
        </w:rPr>
        <w:t>cascaded to the development management policies in a more concrete manner.</w:t>
      </w:r>
    </w:p>
    <w:p w:rsidR="00650C0E" w:rsidRDefault="00650C0E" w:rsidP="00650C0E">
      <w:pPr>
        <w:pStyle w:val="ListParagraph"/>
        <w:spacing w:before="240" w:line="300" w:lineRule="auto"/>
        <w:contextualSpacing w:val="0"/>
        <w:textAlignment w:val="baseline"/>
        <w:rPr>
          <w:rFonts w:asciiTheme="minorHAnsi" w:hAnsiTheme="minorHAnsi" w:cstheme="minorHAnsi"/>
          <w:lang w:eastAsia="en-GB"/>
        </w:rPr>
      </w:pPr>
      <w:r>
        <w:rPr>
          <w:rFonts w:asciiTheme="minorHAnsi" w:hAnsiTheme="minorHAnsi" w:cstheme="minorHAnsi"/>
          <w:lang w:eastAsia="en-GB"/>
        </w:rPr>
        <w:br w:type="page"/>
      </w:r>
    </w:p>
    <w:p w:rsidR="009C61AD" w:rsidRPr="00862910" w:rsidRDefault="0075063E" w:rsidP="0055456B">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24" w:name="_Toc65242911"/>
      <w:r>
        <w:rPr>
          <w:rFonts w:asciiTheme="minorHAnsi" w:hAnsiTheme="minorHAnsi" w:cstheme="minorHAnsi"/>
          <w:b/>
          <w:color w:val="0070C0"/>
          <w:sz w:val="36"/>
          <w:szCs w:val="36"/>
          <w:lang w:eastAsia="en-GB"/>
        </w:rPr>
        <w:lastRenderedPageBreak/>
        <w:t>SP7 Managing Housing Development</w:t>
      </w:r>
      <w:bookmarkEnd w:id="24"/>
    </w:p>
    <w:p w:rsidR="009C61AD" w:rsidRPr="00FE2663" w:rsidRDefault="009C61AD" w:rsidP="009C61AD">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9C61AD" w:rsidRPr="00FE2663" w:rsidRDefault="009C61AD" w:rsidP="009C61AD">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9C61AD" w:rsidRPr="00A17498" w:rsidTr="00236342">
        <w:trPr>
          <w:trHeight w:val="283"/>
        </w:trPr>
        <w:tc>
          <w:tcPr>
            <w:tcW w:w="567" w:type="dxa"/>
            <w:tcBorders>
              <w:right w:val="single" w:sz="4" w:space="0" w:color="auto"/>
            </w:tcBorders>
            <w:vAlign w:val="center"/>
          </w:tcPr>
          <w:p w:rsidR="009C61AD" w:rsidRPr="00A17498" w:rsidRDefault="009C61AD" w:rsidP="00236342">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9C61AD" w:rsidRPr="001251D0" w:rsidRDefault="009C61AD" w:rsidP="00236342">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9C61AD" w:rsidRPr="00A17498" w:rsidRDefault="009C61AD" w:rsidP="009C61AD">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9C61AD" w:rsidRPr="00A17498" w:rsidTr="00236342">
        <w:trPr>
          <w:trHeight w:val="283"/>
        </w:trPr>
        <w:tc>
          <w:tcPr>
            <w:tcW w:w="1134" w:type="dxa"/>
            <w:tcBorders>
              <w:top w:val="nil"/>
              <w:left w:val="nil"/>
              <w:bottom w:val="nil"/>
              <w:right w:val="single" w:sz="4" w:space="0" w:color="auto"/>
            </w:tcBorders>
            <w:vAlign w:val="center"/>
          </w:tcPr>
          <w:p w:rsidR="009C61AD" w:rsidRPr="00A17498" w:rsidRDefault="009C61AD" w:rsidP="00236342">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9C61AD" w:rsidRPr="00A17498" w:rsidRDefault="009C61AD" w:rsidP="00236342">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9C61AD" w:rsidRPr="00A17498" w:rsidRDefault="009C61AD" w:rsidP="00236342">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9C61AD" w:rsidRPr="00A17498" w:rsidRDefault="009C61AD" w:rsidP="00236342">
            <w:pPr>
              <w:pStyle w:val="BodyText"/>
              <w:spacing w:after="0"/>
              <w:rPr>
                <w:rFonts w:asciiTheme="minorHAnsi" w:hAnsiTheme="minorHAnsi" w:cstheme="minorHAnsi"/>
              </w:rPr>
            </w:pPr>
            <w:r>
              <w:rPr>
                <w:rFonts w:asciiTheme="minorHAnsi" w:hAnsiTheme="minorHAnsi" w:cstheme="minorHAnsi"/>
              </w:rPr>
              <w:t>SP</w:t>
            </w:r>
            <w:r w:rsidR="0075063E">
              <w:rPr>
                <w:rFonts w:asciiTheme="minorHAnsi" w:hAnsiTheme="minorHAnsi" w:cstheme="minorHAnsi"/>
              </w:rPr>
              <w:t>7</w:t>
            </w:r>
          </w:p>
        </w:tc>
      </w:tr>
    </w:tbl>
    <w:p w:rsidR="009C61AD" w:rsidRPr="00A17498" w:rsidRDefault="009C61AD" w:rsidP="009C61AD">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9C61AD" w:rsidTr="00236342">
        <w:trPr>
          <w:trHeight w:val="283"/>
        </w:trPr>
        <w:tc>
          <w:tcPr>
            <w:tcW w:w="4820" w:type="dxa"/>
            <w:tcBorders>
              <w:top w:val="nil"/>
              <w:left w:val="nil"/>
              <w:bottom w:val="nil"/>
              <w:right w:val="nil"/>
            </w:tcBorders>
            <w:vAlign w:val="center"/>
          </w:tcPr>
          <w:p w:rsidR="009C61AD" w:rsidRPr="00882F68" w:rsidRDefault="009C61AD" w:rsidP="00236342">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9C61AD" w:rsidRDefault="009C61AD" w:rsidP="00236342">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9C61AD" w:rsidRPr="00A17498" w:rsidRDefault="009C61AD" w:rsidP="00236342">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9C61AD" w:rsidRDefault="009C61AD" w:rsidP="00236342">
            <w:pPr>
              <w:pStyle w:val="TableParagraph"/>
              <w:spacing w:before="42"/>
              <w:rPr>
                <w:sz w:val="20"/>
              </w:rPr>
            </w:pPr>
            <w:r>
              <w:rPr>
                <w:sz w:val="20"/>
              </w:rPr>
              <w:t>No:</w:t>
            </w:r>
          </w:p>
        </w:tc>
        <w:tc>
          <w:tcPr>
            <w:tcW w:w="567" w:type="dxa"/>
            <w:tcBorders>
              <w:left w:val="single" w:sz="4" w:space="0" w:color="auto"/>
            </w:tcBorders>
            <w:vAlign w:val="center"/>
          </w:tcPr>
          <w:p w:rsidR="009C61AD" w:rsidRPr="00A17498" w:rsidRDefault="0075063E" w:rsidP="00236342">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bl>
    <w:p w:rsidR="0075063E" w:rsidRPr="00890045" w:rsidRDefault="0075063E" w:rsidP="00890045">
      <w:pPr>
        <w:pStyle w:val="Heading2"/>
        <w:spacing w:before="240" w:after="120"/>
        <w:rPr>
          <w:rFonts w:asciiTheme="minorHAnsi" w:eastAsiaTheme="minorHAnsi" w:hAnsiTheme="minorHAnsi" w:cstheme="minorHAnsi"/>
          <w:b/>
          <w:i/>
          <w:color w:val="0070C0"/>
          <w:sz w:val="28"/>
          <w:szCs w:val="28"/>
          <w:lang w:eastAsia="en-GB"/>
        </w:rPr>
      </w:pPr>
      <w:bookmarkStart w:id="25" w:name="_Toc65242912"/>
      <w:r w:rsidRPr="005307CB">
        <w:rPr>
          <w:rFonts w:asciiTheme="minorHAnsi" w:eastAsiaTheme="minorHAnsi" w:hAnsiTheme="minorHAnsi" w:cstheme="minorHAnsi"/>
          <w:b/>
          <w:i/>
          <w:color w:val="0070C0"/>
          <w:sz w:val="28"/>
          <w:szCs w:val="28"/>
          <w:lang w:eastAsia="en-GB"/>
        </w:rPr>
        <w:t>Details</w:t>
      </w:r>
      <w:bookmarkEnd w:id="25"/>
    </w:p>
    <w:p w:rsidR="00885951" w:rsidRPr="00890045" w:rsidRDefault="001D5D00" w:rsidP="00890045">
      <w:pPr>
        <w:pStyle w:val="Heading3"/>
        <w:rPr>
          <w:rFonts w:asciiTheme="minorHAnsi" w:eastAsiaTheme="minorHAnsi" w:hAnsiTheme="minorHAnsi" w:cstheme="minorHAnsi"/>
          <w:b/>
          <w:i/>
          <w:color w:val="0070C0"/>
          <w:sz w:val="28"/>
          <w:szCs w:val="28"/>
          <w:lang w:eastAsia="en-GB"/>
        </w:rPr>
      </w:pPr>
      <w:bookmarkStart w:id="26" w:name="_Toc65242913"/>
      <w:r w:rsidRPr="00890045">
        <w:rPr>
          <w:rFonts w:asciiTheme="minorHAnsi" w:eastAsiaTheme="minorHAnsi" w:hAnsiTheme="minorHAnsi" w:cstheme="minorHAnsi"/>
          <w:b/>
          <w:i/>
          <w:color w:val="0070C0"/>
          <w:sz w:val="28"/>
          <w:szCs w:val="28"/>
          <w:lang w:eastAsia="en-GB"/>
        </w:rPr>
        <w:t>The right home</w:t>
      </w:r>
      <w:r w:rsidR="00885951" w:rsidRPr="00890045">
        <w:rPr>
          <w:rFonts w:asciiTheme="minorHAnsi" w:eastAsiaTheme="minorHAnsi" w:hAnsiTheme="minorHAnsi" w:cstheme="minorHAnsi"/>
          <w:b/>
          <w:i/>
          <w:color w:val="0070C0"/>
          <w:sz w:val="28"/>
          <w:szCs w:val="28"/>
          <w:lang w:eastAsia="en-GB"/>
        </w:rPr>
        <w:t xml:space="preserve"> in the right place</w:t>
      </w:r>
      <w:bookmarkEnd w:id="26"/>
    </w:p>
    <w:p w:rsidR="00CB33DC" w:rsidRDefault="00CB33DC" w:rsidP="00B73EDC">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Our arguments </w:t>
      </w:r>
      <w:r w:rsidR="00FF4557">
        <w:rPr>
          <w:rFonts w:asciiTheme="minorHAnsi" w:hAnsiTheme="minorHAnsi" w:cstheme="minorHAnsi"/>
          <w:szCs w:val="24"/>
          <w:lang w:eastAsia="en-GB"/>
        </w:rPr>
        <w:t>are</w:t>
      </w:r>
      <w:r>
        <w:rPr>
          <w:rFonts w:asciiTheme="minorHAnsi" w:hAnsiTheme="minorHAnsi" w:cstheme="minorHAnsi"/>
          <w:szCs w:val="24"/>
          <w:lang w:eastAsia="en-GB"/>
        </w:rPr>
        <w:t xml:space="preserve"> that (1) not enough affordable houses are built, and the policy continues to make things worse not better, and (2) there is no coherent policy to get houses for different need groups into appropriate (i.e. the right) places.</w:t>
      </w:r>
    </w:p>
    <w:p w:rsidR="00CB33DC" w:rsidRDefault="00890045" w:rsidP="00B73EDC">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M</w:t>
      </w:r>
      <w:r w:rsidR="00CB33DC">
        <w:rPr>
          <w:rFonts w:asciiTheme="minorHAnsi" w:hAnsiTheme="minorHAnsi" w:cstheme="minorHAnsi"/>
          <w:szCs w:val="24"/>
          <w:lang w:eastAsia="en-GB"/>
        </w:rPr>
        <w:t xml:space="preserve">uch greater numbers of affordable houses are needed.  </w:t>
      </w:r>
      <w:r>
        <w:rPr>
          <w:rFonts w:asciiTheme="minorHAnsi" w:hAnsiTheme="minorHAnsi" w:cstheme="minorHAnsi"/>
          <w:szCs w:val="24"/>
          <w:lang w:eastAsia="en-GB"/>
        </w:rPr>
        <w:t>A Planning Inspector at a local Shropshire Appeal Hearing caused</w:t>
      </w:r>
      <w:r w:rsidR="00CB33DC">
        <w:rPr>
          <w:rFonts w:asciiTheme="minorHAnsi" w:hAnsiTheme="minorHAnsi" w:cstheme="minorHAnsi"/>
          <w:szCs w:val="24"/>
          <w:lang w:eastAsia="en-GB"/>
        </w:rPr>
        <w:t xml:space="preserve"> a jolt by saying that he did not agree with the Government’s assessment that the housing crisis could be solved just by building more houses.  He pointed to </w:t>
      </w:r>
      <w:r>
        <w:rPr>
          <w:rFonts w:asciiTheme="minorHAnsi" w:hAnsiTheme="minorHAnsi" w:cstheme="minorHAnsi"/>
          <w:szCs w:val="24"/>
          <w:lang w:eastAsia="en-GB"/>
        </w:rPr>
        <w:t xml:space="preserve">a larger contributory factor being </w:t>
      </w:r>
      <w:r w:rsidR="00CB33DC">
        <w:rPr>
          <w:rFonts w:asciiTheme="minorHAnsi" w:hAnsiTheme="minorHAnsi" w:cstheme="minorHAnsi"/>
          <w:szCs w:val="24"/>
          <w:lang w:eastAsia="en-GB"/>
        </w:rPr>
        <w:t>the collapse in council-house building from the early 1980s onward</w:t>
      </w:r>
      <w:r>
        <w:rPr>
          <w:rFonts w:asciiTheme="minorHAnsi" w:hAnsiTheme="minorHAnsi" w:cstheme="minorHAnsi"/>
          <w:szCs w:val="24"/>
          <w:lang w:eastAsia="en-GB"/>
        </w:rPr>
        <w:t xml:space="preserve">s, as </w:t>
      </w:r>
      <w:r w:rsidR="00CB33DC">
        <w:rPr>
          <w:rFonts w:asciiTheme="minorHAnsi" w:hAnsiTheme="minorHAnsi" w:cstheme="minorHAnsi"/>
          <w:szCs w:val="24"/>
          <w:lang w:eastAsia="en-GB"/>
        </w:rPr>
        <w:t>evidenced in the chart below:</w:t>
      </w:r>
    </w:p>
    <w:p w:rsidR="00CB33DC" w:rsidRDefault="00CB33DC" w:rsidP="00CB33DC">
      <w:pPr>
        <w:pStyle w:val="ListParagraph"/>
        <w:spacing w:before="240" w:after="240"/>
        <w:contextualSpacing w:val="0"/>
        <w:textAlignment w:val="baseline"/>
        <w:rPr>
          <w:rFonts w:asciiTheme="minorHAnsi" w:hAnsiTheme="minorHAnsi" w:cstheme="minorHAnsi"/>
          <w:szCs w:val="24"/>
          <w:lang w:eastAsia="en-GB"/>
        </w:rPr>
      </w:pPr>
      <w:r>
        <w:rPr>
          <w:noProof/>
          <w:lang w:eastAsia="en-GB"/>
        </w:rPr>
        <w:drawing>
          <wp:inline distT="0" distB="0" distL="0" distR="0" wp14:anchorId="731425A7" wp14:editId="66F56F2D">
            <wp:extent cx="5731510" cy="392366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B33DC" w:rsidRDefault="00797D9D" w:rsidP="00890045">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lastRenderedPageBreak/>
        <w:t>In the Shropshire Council area, t</w:t>
      </w:r>
      <w:r w:rsidR="00CB33DC">
        <w:rPr>
          <w:rFonts w:asciiTheme="minorHAnsi" w:hAnsiTheme="minorHAnsi" w:cstheme="minorHAnsi"/>
          <w:szCs w:val="24"/>
          <w:lang w:eastAsia="en-GB"/>
        </w:rPr>
        <w:t>he Evidence is that there is a need for 17,574 affordable houses, or 799pa</w:t>
      </w:r>
      <w:r w:rsidR="00890045">
        <w:rPr>
          <w:rStyle w:val="FootnoteReference"/>
          <w:rFonts w:asciiTheme="minorHAnsi" w:hAnsiTheme="minorHAnsi" w:cstheme="minorHAnsi"/>
          <w:szCs w:val="24"/>
          <w:lang w:eastAsia="en-GB"/>
        </w:rPr>
        <w:footnoteReference w:id="18"/>
      </w:r>
      <w:r w:rsidR="00CB33DC">
        <w:rPr>
          <w:rFonts w:asciiTheme="minorHAnsi" w:hAnsiTheme="minorHAnsi" w:cstheme="minorHAnsi"/>
          <w:szCs w:val="24"/>
          <w:lang w:eastAsia="en-GB"/>
        </w:rPr>
        <w:t>.  Satisfying such a need would take 57% of the overall guideline figure of 30,800 houses.  Yet the Council proposes an overall target of only 25% affordable housing (7,700 of the 30,800), whilst proposing targets of only 10% in the north and 20% in the south</w:t>
      </w:r>
      <w:r w:rsidR="00FF4557">
        <w:rPr>
          <w:rStyle w:val="FootnoteReference"/>
          <w:rFonts w:asciiTheme="minorHAnsi" w:hAnsiTheme="minorHAnsi" w:cstheme="minorHAnsi"/>
          <w:szCs w:val="24"/>
          <w:lang w:eastAsia="en-GB"/>
        </w:rPr>
        <w:footnoteReference w:id="19"/>
      </w:r>
      <w:r w:rsidR="00CB33DC">
        <w:rPr>
          <w:rFonts w:asciiTheme="minorHAnsi" w:hAnsiTheme="minorHAnsi" w:cstheme="minorHAnsi"/>
          <w:szCs w:val="24"/>
          <w:lang w:eastAsia="en-GB"/>
        </w:rPr>
        <w:t xml:space="preserve">.  </w:t>
      </w:r>
      <w:r w:rsidR="00DA6BE7">
        <w:rPr>
          <w:rFonts w:asciiTheme="minorHAnsi" w:hAnsiTheme="minorHAnsi" w:cstheme="minorHAnsi"/>
          <w:szCs w:val="24"/>
          <w:lang w:eastAsia="en-GB"/>
        </w:rPr>
        <w:t>The latest information</w:t>
      </w:r>
      <w:r w:rsidR="00D758AF">
        <w:rPr>
          <w:rFonts w:asciiTheme="minorHAnsi" w:hAnsiTheme="minorHAnsi" w:cstheme="minorHAnsi"/>
          <w:szCs w:val="24"/>
          <w:lang w:eastAsia="en-GB"/>
        </w:rPr>
        <w:t xml:space="preserve"> in the AMR</w:t>
      </w:r>
      <w:r w:rsidR="00DA6BE7">
        <w:rPr>
          <w:rFonts w:asciiTheme="minorHAnsi" w:hAnsiTheme="minorHAnsi" w:cstheme="minorHAnsi"/>
          <w:szCs w:val="24"/>
          <w:lang w:eastAsia="en-GB"/>
        </w:rPr>
        <w:t xml:space="preserve"> (albeit three years out of date) state</w:t>
      </w:r>
      <w:r w:rsidR="00D758AF">
        <w:rPr>
          <w:rFonts w:asciiTheme="minorHAnsi" w:hAnsiTheme="minorHAnsi" w:cstheme="minorHAnsi"/>
          <w:szCs w:val="24"/>
          <w:lang w:eastAsia="en-GB"/>
        </w:rPr>
        <w:t>s that</w:t>
      </w:r>
      <w:r w:rsidR="00DA6BE7">
        <w:rPr>
          <w:rFonts w:asciiTheme="minorHAnsi" w:hAnsiTheme="minorHAnsi" w:cstheme="minorHAnsi"/>
          <w:szCs w:val="24"/>
          <w:lang w:eastAsia="en-GB"/>
        </w:rPr>
        <w:t xml:space="preserve"> </w:t>
      </w:r>
      <w:r w:rsidR="00CB33DC">
        <w:rPr>
          <w:rFonts w:asciiTheme="minorHAnsi" w:hAnsiTheme="minorHAnsi" w:cstheme="minorHAnsi"/>
          <w:szCs w:val="24"/>
          <w:lang w:eastAsia="en-GB"/>
        </w:rPr>
        <w:t xml:space="preserve">only </w:t>
      </w:r>
      <w:r w:rsidR="00DA6BE7">
        <w:rPr>
          <w:rFonts w:asciiTheme="minorHAnsi" w:hAnsiTheme="minorHAnsi" w:cstheme="minorHAnsi"/>
          <w:szCs w:val="24"/>
          <w:lang w:eastAsia="en-GB"/>
        </w:rPr>
        <w:t>around</w:t>
      </w:r>
      <w:r w:rsidR="00D758AF">
        <w:rPr>
          <w:rFonts w:asciiTheme="minorHAnsi" w:hAnsiTheme="minorHAnsi" w:cstheme="minorHAnsi"/>
          <w:szCs w:val="24"/>
          <w:lang w:eastAsia="en-GB"/>
        </w:rPr>
        <w:t xml:space="preserve"> 20</w:t>
      </w:r>
      <w:r w:rsidR="00CB33DC">
        <w:rPr>
          <w:rFonts w:asciiTheme="minorHAnsi" w:hAnsiTheme="minorHAnsi" w:cstheme="minorHAnsi"/>
          <w:szCs w:val="24"/>
          <w:lang w:eastAsia="en-GB"/>
        </w:rPr>
        <w:t>% affordable housing is achieved</w:t>
      </w:r>
      <w:r w:rsidR="00DA6BE7">
        <w:rPr>
          <w:rStyle w:val="FootnoteReference"/>
          <w:rFonts w:asciiTheme="minorHAnsi" w:hAnsiTheme="minorHAnsi" w:cstheme="minorHAnsi"/>
          <w:szCs w:val="24"/>
          <w:lang w:eastAsia="en-GB"/>
        </w:rPr>
        <w:footnoteReference w:id="20"/>
      </w:r>
      <w:r w:rsidR="00CB33DC">
        <w:rPr>
          <w:rFonts w:asciiTheme="minorHAnsi" w:hAnsiTheme="minorHAnsi" w:cstheme="minorHAnsi"/>
          <w:szCs w:val="24"/>
          <w:lang w:eastAsia="en-GB"/>
        </w:rPr>
        <w:t>.</w:t>
      </w:r>
    </w:p>
    <w:p w:rsidR="00CB33DC" w:rsidRDefault="00CB33DC" w:rsidP="00D758A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If the target is for only 10% of houses in the north to be affordable then nine open market houses will be built for every one affordable house built.  That will make the problem of the overall inadequate proportion of affordable houses worse, not better.</w:t>
      </w:r>
    </w:p>
    <w:p w:rsidR="00CB33DC" w:rsidRPr="00866B2A" w:rsidRDefault="00CB33DC" w:rsidP="00D758A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Part of the problem is that developers say they can’t afford to build higher proportions of affordable housing, by reference to viability studies and their requirement to make around 20% profit.  </w:t>
      </w:r>
      <w:r w:rsidR="00D758AF">
        <w:rPr>
          <w:rFonts w:asciiTheme="minorHAnsi" w:hAnsiTheme="minorHAnsi" w:cstheme="minorHAnsi"/>
          <w:szCs w:val="24"/>
          <w:lang w:eastAsia="en-GB"/>
        </w:rPr>
        <w:t>T</w:t>
      </w:r>
      <w:r>
        <w:rPr>
          <w:rFonts w:asciiTheme="minorHAnsi" w:hAnsiTheme="minorHAnsi" w:cstheme="minorHAnsi"/>
          <w:szCs w:val="24"/>
          <w:lang w:eastAsia="en-GB"/>
        </w:rPr>
        <w:t xml:space="preserve">he Council </w:t>
      </w:r>
      <w:r w:rsidR="00D758AF">
        <w:rPr>
          <w:rFonts w:asciiTheme="minorHAnsi" w:hAnsiTheme="minorHAnsi" w:cstheme="minorHAnsi"/>
          <w:szCs w:val="24"/>
          <w:lang w:eastAsia="en-GB"/>
        </w:rPr>
        <w:t xml:space="preserve">could </w:t>
      </w:r>
      <w:r>
        <w:rPr>
          <w:rFonts w:asciiTheme="minorHAnsi" w:hAnsiTheme="minorHAnsi" w:cstheme="minorHAnsi"/>
          <w:szCs w:val="24"/>
          <w:lang w:eastAsia="en-GB"/>
        </w:rPr>
        <w:t xml:space="preserve">take on </w:t>
      </w:r>
      <w:r w:rsidR="00D758AF">
        <w:rPr>
          <w:rFonts w:asciiTheme="minorHAnsi" w:hAnsiTheme="minorHAnsi" w:cstheme="minorHAnsi"/>
          <w:szCs w:val="24"/>
          <w:lang w:eastAsia="en-GB"/>
        </w:rPr>
        <w:t xml:space="preserve">more of </w:t>
      </w:r>
      <w:r>
        <w:rPr>
          <w:rFonts w:asciiTheme="minorHAnsi" w:hAnsiTheme="minorHAnsi" w:cstheme="minorHAnsi"/>
          <w:szCs w:val="24"/>
          <w:lang w:eastAsia="en-GB"/>
        </w:rPr>
        <w:t xml:space="preserve">this challenge </w:t>
      </w:r>
      <w:r w:rsidR="00D936E8">
        <w:rPr>
          <w:rFonts w:asciiTheme="minorHAnsi" w:hAnsiTheme="minorHAnsi" w:cstheme="minorHAnsi"/>
          <w:szCs w:val="24"/>
          <w:lang w:eastAsia="en-GB"/>
        </w:rPr>
        <w:t xml:space="preserve">instead, </w:t>
      </w:r>
      <w:r>
        <w:rPr>
          <w:rFonts w:asciiTheme="minorHAnsi" w:hAnsiTheme="minorHAnsi" w:cstheme="minorHAnsi"/>
          <w:szCs w:val="24"/>
          <w:lang w:eastAsia="en-GB"/>
        </w:rPr>
        <w:t>via their wholly owned house building company, Cornov</w:t>
      </w:r>
      <w:r w:rsidR="00D758AF">
        <w:rPr>
          <w:rFonts w:asciiTheme="minorHAnsi" w:hAnsiTheme="minorHAnsi" w:cstheme="minorHAnsi"/>
          <w:szCs w:val="24"/>
          <w:lang w:eastAsia="en-GB"/>
        </w:rPr>
        <w:t>ii Developments Ltd.</w:t>
      </w:r>
    </w:p>
    <w:p w:rsidR="00D758AF" w:rsidRPr="00C91F54" w:rsidRDefault="00D936E8" w:rsidP="00D758A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lang w:eastAsia="en-GB"/>
        </w:rPr>
        <w:t>The Shropshire Strategic Housing Market Assessment (SHMA) part 2 is the document that sets out what the housing needs are of th</w:t>
      </w:r>
      <w:r w:rsidR="009355B9">
        <w:rPr>
          <w:rFonts w:asciiTheme="minorHAnsi" w:hAnsiTheme="minorHAnsi" w:cstheme="minorHAnsi"/>
          <w:lang w:eastAsia="en-GB"/>
        </w:rPr>
        <w:t xml:space="preserve">e different segments of society.  </w:t>
      </w:r>
      <w:r w:rsidR="00CB4F3A">
        <w:rPr>
          <w:rFonts w:asciiTheme="minorHAnsi" w:hAnsiTheme="minorHAnsi" w:cstheme="minorHAnsi"/>
          <w:lang w:eastAsia="en-GB"/>
        </w:rPr>
        <w:t>The policies in the Pre-</w:t>
      </w:r>
      <w:r w:rsidR="00FF4557">
        <w:rPr>
          <w:rFonts w:asciiTheme="minorHAnsi" w:hAnsiTheme="minorHAnsi" w:cstheme="minorHAnsi"/>
          <w:lang w:eastAsia="en-GB"/>
        </w:rPr>
        <w:t xml:space="preserve">Submission </w:t>
      </w:r>
      <w:r w:rsidR="00CB4F3A">
        <w:rPr>
          <w:rFonts w:asciiTheme="minorHAnsi" w:hAnsiTheme="minorHAnsi" w:cstheme="minorHAnsi"/>
          <w:lang w:eastAsia="en-GB"/>
        </w:rPr>
        <w:t>Draft Plan do not really take any significant notice of its evidence.</w:t>
      </w:r>
    </w:p>
    <w:p w:rsidR="00C91F54" w:rsidRPr="00D758AF" w:rsidRDefault="00C91F54" w:rsidP="00D758A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lang w:eastAsia="en-GB"/>
        </w:rPr>
        <w:t>The Right House Right Place website</w:t>
      </w:r>
      <w:r>
        <w:rPr>
          <w:rStyle w:val="FootnoteReference"/>
          <w:rFonts w:asciiTheme="minorHAnsi" w:hAnsiTheme="minorHAnsi" w:cstheme="minorHAnsi"/>
          <w:lang w:eastAsia="en-GB"/>
        </w:rPr>
        <w:footnoteReference w:id="21"/>
      </w:r>
      <w:r>
        <w:rPr>
          <w:rFonts w:asciiTheme="minorHAnsi" w:hAnsiTheme="minorHAnsi" w:cstheme="minorHAnsi"/>
          <w:lang w:eastAsia="en-GB"/>
        </w:rPr>
        <w:t xml:space="preserve"> currently lists 32 parishes that have taken the RHRP housing needs survey</w:t>
      </w:r>
      <w:r w:rsidR="00280059">
        <w:rPr>
          <w:rFonts w:asciiTheme="minorHAnsi" w:hAnsiTheme="minorHAnsi" w:cstheme="minorHAnsi"/>
          <w:lang w:eastAsia="en-GB"/>
        </w:rPr>
        <w:t>, which gives evidence of the need for affordable housing (amongst other things)</w:t>
      </w:r>
      <w:r>
        <w:rPr>
          <w:rFonts w:asciiTheme="minorHAnsi" w:hAnsiTheme="minorHAnsi" w:cstheme="minorHAnsi"/>
          <w:lang w:eastAsia="en-GB"/>
        </w:rPr>
        <w:t>.</w:t>
      </w:r>
      <w:r w:rsidR="00280059">
        <w:rPr>
          <w:rFonts w:asciiTheme="minorHAnsi" w:hAnsiTheme="minorHAnsi" w:cstheme="minorHAnsi"/>
          <w:lang w:eastAsia="en-GB"/>
        </w:rPr>
        <w:t xml:space="preserve">  This is a relatively small perce</w:t>
      </w:r>
      <w:r w:rsidR="00FF4557">
        <w:rPr>
          <w:rFonts w:asciiTheme="minorHAnsi" w:hAnsiTheme="minorHAnsi" w:cstheme="minorHAnsi"/>
          <w:lang w:eastAsia="en-GB"/>
        </w:rPr>
        <w:t>ntage of parishes in Shropshire</w:t>
      </w:r>
      <w:r w:rsidR="00280059">
        <w:rPr>
          <w:rFonts w:asciiTheme="minorHAnsi" w:hAnsiTheme="minorHAnsi" w:cstheme="minorHAnsi"/>
          <w:lang w:eastAsia="en-GB"/>
        </w:rPr>
        <w:t>; more of these surveys should be carried out, particularly in urban areas.</w:t>
      </w:r>
    </w:p>
    <w:p w:rsidR="00D758AF" w:rsidRPr="005307CB" w:rsidRDefault="00D758AF" w:rsidP="00D758AF">
      <w:pPr>
        <w:pStyle w:val="Heading2"/>
        <w:spacing w:before="240" w:after="120"/>
        <w:rPr>
          <w:rFonts w:asciiTheme="minorHAnsi" w:eastAsiaTheme="minorHAnsi" w:hAnsiTheme="minorHAnsi" w:cstheme="minorHAnsi"/>
          <w:b/>
          <w:i/>
          <w:color w:val="0070C0"/>
          <w:sz w:val="28"/>
          <w:szCs w:val="28"/>
          <w:lang w:eastAsia="en-GB"/>
        </w:rPr>
      </w:pPr>
      <w:bookmarkStart w:id="27" w:name="_Toc65242914"/>
      <w:r w:rsidRPr="005307CB">
        <w:rPr>
          <w:rFonts w:asciiTheme="minorHAnsi" w:eastAsiaTheme="minorHAnsi" w:hAnsiTheme="minorHAnsi" w:cstheme="minorHAnsi"/>
          <w:b/>
          <w:i/>
          <w:color w:val="0070C0"/>
          <w:sz w:val="28"/>
          <w:szCs w:val="28"/>
          <w:lang w:eastAsia="en-GB"/>
        </w:rPr>
        <w:t>Modification(s) considered necessary</w:t>
      </w:r>
      <w:bookmarkEnd w:id="27"/>
    </w:p>
    <w:p w:rsidR="00D758AF" w:rsidRDefault="00C91F54" w:rsidP="00D758A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A policy should be included </w:t>
      </w:r>
      <w:r w:rsidR="00FF4557">
        <w:rPr>
          <w:rFonts w:asciiTheme="minorHAnsi" w:hAnsiTheme="minorHAnsi" w:cstheme="minorHAnsi"/>
          <w:szCs w:val="24"/>
          <w:lang w:eastAsia="en-GB"/>
        </w:rPr>
        <w:t>to enable</w:t>
      </w:r>
      <w:r>
        <w:rPr>
          <w:rFonts w:asciiTheme="minorHAnsi" w:hAnsiTheme="minorHAnsi" w:cstheme="minorHAnsi"/>
          <w:szCs w:val="24"/>
          <w:lang w:eastAsia="en-GB"/>
        </w:rPr>
        <w:t xml:space="preserve"> affordable housing developments </w:t>
      </w:r>
      <w:r w:rsidR="008E790C">
        <w:rPr>
          <w:rFonts w:asciiTheme="minorHAnsi" w:hAnsiTheme="minorHAnsi" w:cstheme="minorHAnsi"/>
          <w:szCs w:val="24"/>
          <w:lang w:eastAsia="en-GB"/>
        </w:rPr>
        <w:t xml:space="preserve">to be achieved more easily, </w:t>
      </w:r>
      <w:r>
        <w:rPr>
          <w:rFonts w:asciiTheme="minorHAnsi" w:hAnsiTheme="minorHAnsi" w:cstheme="minorHAnsi"/>
          <w:szCs w:val="24"/>
          <w:lang w:eastAsia="en-GB"/>
        </w:rPr>
        <w:t>where housing needs surveys have indicated a particular need for affordable housing.</w:t>
      </w:r>
    </w:p>
    <w:p w:rsidR="00FF4557" w:rsidRDefault="00FF4557" w:rsidP="00D758AF">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The policy should be amended to take account of the </w:t>
      </w:r>
      <w:r w:rsidR="008E790C">
        <w:rPr>
          <w:rFonts w:asciiTheme="minorHAnsi" w:hAnsiTheme="minorHAnsi" w:cstheme="minorHAnsi"/>
          <w:lang w:eastAsia="en-GB"/>
        </w:rPr>
        <w:t xml:space="preserve">housing needs </w:t>
      </w:r>
      <w:r>
        <w:rPr>
          <w:rFonts w:asciiTheme="minorHAnsi" w:hAnsiTheme="minorHAnsi" w:cstheme="minorHAnsi"/>
          <w:lang w:eastAsia="en-GB"/>
        </w:rPr>
        <w:t>of the different segments of society, as evidenced in the Shropshire Strategic Housing Market Assessment (SHMA) part 2.</w:t>
      </w:r>
    </w:p>
    <w:p w:rsidR="00650C0E" w:rsidRDefault="00650C0E" w:rsidP="00650C0E">
      <w:pPr>
        <w:pStyle w:val="ListParagraph"/>
        <w:spacing w:before="240" w:line="300" w:lineRule="auto"/>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br w:type="page"/>
      </w:r>
    </w:p>
    <w:p w:rsidR="00C60006" w:rsidRDefault="00C60006" w:rsidP="00C60006">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28" w:name="_Toc65242915"/>
      <w:r>
        <w:rPr>
          <w:rFonts w:asciiTheme="minorHAnsi" w:hAnsiTheme="minorHAnsi" w:cstheme="minorHAnsi"/>
          <w:b/>
          <w:color w:val="0070C0"/>
          <w:sz w:val="36"/>
          <w:szCs w:val="36"/>
          <w:lang w:eastAsia="en-GB"/>
        </w:rPr>
        <w:lastRenderedPageBreak/>
        <w:t>SP11 Green Belt and Safeguarded Land</w:t>
      </w:r>
      <w:bookmarkEnd w:id="28"/>
    </w:p>
    <w:p w:rsidR="00C60006" w:rsidRPr="00FE2663" w:rsidRDefault="00C60006" w:rsidP="00C60006">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C60006" w:rsidRPr="00FE2663" w:rsidRDefault="00C60006" w:rsidP="00C60006">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C60006" w:rsidRPr="00A17498" w:rsidTr="00C60006">
        <w:trPr>
          <w:trHeight w:val="283"/>
        </w:trPr>
        <w:tc>
          <w:tcPr>
            <w:tcW w:w="567" w:type="dxa"/>
            <w:tcBorders>
              <w:right w:val="single" w:sz="4" w:space="0" w:color="auto"/>
            </w:tcBorders>
            <w:vAlign w:val="center"/>
          </w:tcPr>
          <w:p w:rsidR="00C60006" w:rsidRPr="00A17498" w:rsidRDefault="00C60006" w:rsidP="00C60006">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C60006" w:rsidRPr="001251D0" w:rsidRDefault="00C60006" w:rsidP="00C60006">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C60006" w:rsidRPr="00A17498" w:rsidRDefault="00C60006" w:rsidP="00C60006">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C60006" w:rsidRPr="00A17498" w:rsidTr="00C60006">
        <w:trPr>
          <w:trHeight w:val="283"/>
        </w:trPr>
        <w:tc>
          <w:tcPr>
            <w:tcW w:w="1134" w:type="dxa"/>
            <w:tcBorders>
              <w:top w:val="nil"/>
              <w:left w:val="nil"/>
              <w:bottom w:val="nil"/>
              <w:right w:val="single" w:sz="4" w:space="0" w:color="auto"/>
            </w:tcBorders>
            <w:vAlign w:val="center"/>
          </w:tcPr>
          <w:p w:rsidR="00C60006" w:rsidRPr="00A17498" w:rsidRDefault="00C60006" w:rsidP="00C60006">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C60006" w:rsidRPr="00A17498" w:rsidRDefault="00C60006" w:rsidP="00C60006">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C60006" w:rsidRPr="00A17498" w:rsidRDefault="00C60006" w:rsidP="00C60006">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C60006" w:rsidRPr="00A17498" w:rsidRDefault="00C60006" w:rsidP="00C60006">
            <w:pPr>
              <w:pStyle w:val="BodyText"/>
              <w:spacing w:after="0"/>
              <w:rPr>
                <w:rFonts w:asciiTheme="minorHAnsi" w:hAnsiTheme="minorHAnsi" w:cstheme="minorHAnsi"/>
              </w:rPr>
            </w:pPr>
            <w:r>
              <w:rPr>
                <w:rFonts w:asciiTheme="minorHAnsi" w:hAnsiTheme="minorHAnsi" w:cstheme="minorHAnsi"/>
              </w:rPr>
              <w:t>SP11</w:t>
            </w:r>
          </w:p>
        </w:tc>
      </w:tr>
    </w:tbl>
    <w:p w:rsidR="00C60006" w:rsidRPr="00A17498" w:rsidRDefault="00C60006" w:rsidP="00C60006">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C60006" w:rsidTr="00C60006">
        <w:trPr>
          <w:trHeight w:val="283"/>
        </w:trPr>
        <w:tc>
          <w:tcPr>
            <w:tcW w:w="4820" w:type="dxa"/>
            <w:tcBorders>
              <w:top w:val="nil"/>
              <w:left w:val="nil"/>
              <w:bottom w:val="nil"/>
              <w:right w:val="nil"/>
            </w:tcBorders>
            <w:vAlign w:val="center"/>
          </w:tcPr>
          <w:p w:rsidR="00C60006" w:rsidRPr="00882F68" w:rsidRDefault="00C60006" w:rsidP="00C60006">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C60006" w:rsidRDefault="00C60006" w:rsidP="00C60006">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C60006" w:rsidRPr="00A17498" w:rsidRDefault="00C60006" w:rsidP="00C60006">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C60006" w:rsidRDefault="00C60006" w:rsidP="00C60006">
            <w:pPr>
              <w:pStyle w:val="TableParagraph"/>
              <w:spacing w:before="42"/>
              <w:rPr>
                <w:sz w:val="20"/>
              </w:rPr>
            </w:pPr>
            <w:r>
              <w:rPr>
                <w:sz w:val="20"/>
              </w:rPr>
              <w:t>No:</w:t>
            </w:r>
          </w:p>
        </w:tc>
        <w:tc>
          <w:tcPr>
            <w:tcW w:w="567" w:type="dxa"/>
            <w:tcBorders>
              <w:left w:val="single" w:sz="4" w:space="0" w:color="auto"/>
            </w:tcBorders>
            <w:vAlign w:val="center"/>
          </w:tcPr>
          <w:p w:rsidR="00C60006" w:rsidRPr="00A17498" w:rsidRDefault="00C60006" w:rsidP="00C60006">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bl>
    <w:p w:rsidR="00C60006" w:rsidRPr="005307CB" w:rsidRDefault="00C60006" w:rsidP="00C60006">
      <w:pPr>
        <w:pStyle w:val="Heading2"/>
        <w:spacing w:before="240" w:after="120"/>
        <w:rPr>
          <w:rFonts w:asciiTheme="minorHAnsi" w:eastAsiaTheme="minorHAnsi" w:hAnsiTheme="minorHAnsi" w:cstheme="minorHAnsi"/>
          <w:b/>
          <w:i/>
          <w:color w:val="0070C0"/>
          <w:sz w:val="28"/>
          <w:szCs w:val="28"/>
          <w:lang w:eastAsia="en-GB"/>
        </w:rPr>
      </w:pPr>
      <w:bookmarkStart w:id="29" w:name="_Toc65242916"/>
      <w:r w:rsidRPr="005307CB">
        <w:rPr>
          <w:rFonts w:asciiTheme="minorHAnsi" w:eastAsiaTheme="minorHAnsi" w:hAnsiTheme="minorHAnsi" w:cstheme="minorHAnsi"/>
          <w:b/>
          <w:i/>
          <w:color w:val="0070C0"/>
          <w:sz w:val="28"/>
          <w:szCs w:val="28"/>
          <w:lang w:eastAsia="en-GB"/>
        </w:rPr>
        <w:t>Details</w:t>
      </w:r>
      <w:bookmarkEnd w:id="29"/>
    </w:p>
    <w:p w:rsidR="00C60006" w:rsidRPr="0037152A" w:rsidRDefault="00D85A4E" w:rsidP="00D85A4E">
      <w:pPr>
        <w:pStyle w:val="ListParagraph"/>
        <w:numPr>
          <w:ilvl w:val="1"/>
          <w:numId w:val="1"/>
        </w:numPr>
        <w:spacing w:before="240" w:line="300" w:lineRule="auto"/>
        <w:ind w:left="0" w:hanging="567"/>
        <w:contextualSpacing w:val="0"/>
        <w:textAlignment w:val="baseline"/>
        <w:rPr>
          <w:rFonts w:ascii="Calibri" w:hAnsi="Calibri" w:cs="Calibri"/>
          <w:color w:val="000000"/>
          <w:szCs w:val="24"/>
        </w:rPr>
      </w:pPr>
      <w:r>
        <w:rPr>
          <w:rFonts w:asciiTheme="minorHAnsi" w:eastAsia="Arial" w:hAnsiTheme="minorHAnsi" w:cstheme="minorHAnsi"/>
          <w:color w:val="000000" w:themeColor="text1"/>
          <w:w w:val="105"/>
          <w:szCs w:val="24"/>
          <w:lang w:val="en-US"/>
        </w:rPr>
        <w:t xml:space="preserve">As stated in </w:t>
      </w:r>
      <w:r w:rsidR="0037152A">
        <w:rPr>
          <w:rFonts w:asciiTheme="minorHAnsi" w:eastAsia="Arial" w:hAnsiTheme="minorHAnsi" w:cstheme="minorHAnsi"/>
          <w:color w:val="000000" w:themeColor="text1"/>
          <w:w w:val="105"/>
          <w:szCs w:val="24"/>
          <w:lang w:val="en-US"/>
        </w:rPr>
        <w:t xml:space="preserve">the opening words of </w:t>
      </w:r>
      <w:r>
        <w:rPr>
          <w:rFonts w:asciiTheme="minorHAnsi" w:eastAsia="Arial" w:hAnsiTheme="minorHAnsi" w:cstheme="minorHAnsi"/>
          <w:color w:val="000000" w:themeColor="text1"/>
          <w:w w:val="105"/>
          <w:szCs w:val="24"/>
          <w:lang w:val="en-US"/>
        </w:rPr>
        <w:t xml:space="preserve">national CPRE’s report </w:t>
      </w:r>
      <w:r w:rsidRPr="00D85A4E">
        <w:rPr>
          <w:rFonts w:asciiTheme="minorHAnsi" w:eastAsia="Arial" w:hAnsiTheme="minorHAnsi" w:cstheme="minorHAnsi"/>
          <w:i/>
          <w:color w:val="000000" w:themeColor="text1"/>
          <w:w w:val="105"/>
          <w:lang w:val="en-US"/>
        </w:rPr>
        <w:t>“</w:t>
      </w:r>
      <w:r w:rsidRPr="00D85A4E">
        <w:rPr>
          <w:rFonts w:asciiTheme="minorHAnsi" w:eastAsia="Arial" w:hAnsiTheme="minorHAnsi" w:cstheme="minorHAnsi"/>
          <w:i/>
          <w:color w:val="000000" w:themeColor="text1"/>
          <w:w w:val="105"/>
          <w:szCs w:val="24"/>
          <w:lang w:val="en-US"/>
        </w:rPr>
        <w:t>Connecting with local green space: State of the Green Belt 2021”</w:t>
      </w:r>
      <w:r>
        <w:rPr>
          <w:rStyle w:val="FootnoteReference"/>
          <w:rFonts w:asciiTheme="minorHAnsi" w:eastAsia="Arial" w:hAnsiTheme="minorHAnsi" w:cstheme="minorHAnsi"/>
          <w:color w:val="000000" w:themeColor="text1"/>
          <w:w w:val="105"/>
          <w:szCs w:val="24"/>
          <w:lang w:val="en-US"/>
        </w:rPr>
        <w:footnoteReference w:id="22"/>
      </w:r>
      <w:r w:rsidRPr="00D85A4E">
        <w:rPr>
          <w:rFonts w:asciiTheme="minorHAnsi" w:eastAsia="Arial" w:hAnsiTheme="minorHAnsi" w:cstheme="minorHAnsi"/>
          <w:color w:val="000000" w:themeColor="text1"/>
          <w:w w:val="105"/>
          <w:szCs w:val="24"/>
          <w:lang w:val="en-US"/>
        </w:rPr>
        <w:t xml:space="preserve"> (published the day before the deadline for this consultation)</w:t>
      </w:r>
      <w:r w:rsidR="0037152A">
        <w:rPr>
          <w:rFonts w:asciiTheme="minorHAnsi" w:eastAsia="Arial" w:hAnsiTheme="minorHAnsi" w:cstheme="minorHAnsi"/>
          <w:color w:val="000000" w:themeColor="text1"/>
          <w:w w:val="105"/>
          <w:szCs w:val="24"/>
          <w:lang w:val="en-US"/>
        </w:rPr>
        <w:t>:</w:t>
      </w:r>
    </w:p>
    <w:p w:rsidR="0037152A" w:rsidRPr="0037152A" w:rsidRDefault="0037152A" w:rsidP="0037152A">
      <w:pPr>
        <w:autoSpaceDE w:val="0"/>
        <w:autoSpaceDN w:val="0"/>
        <w:adjustRightInd w:val="0"/>
        <w:ind w:left="567"/>
        <w:rPr>
          <w:rFonts w:ascii="Calibri" w:eastAsiaTheme="minorHAnsi" w:hAnsi="Calibri" w:cs="Calibri"/>
          <w:i/>
          <w:color w:val="000000"/>
        </w:rPr>
      </w:pPr>
      <w:r w:rsidRPr="0037152A">
        <w:rPr>
          <w:rFonts w:ascii="Calibri" w:eastAsiaTheme="minorHAnsi" w:hAnsi="Calibri" w:cs="Calibri"/>
          <w:i/>
          <w:color w:val="000000"/>
        </w:rPr>
        <w:t xml:space="preserve">“Green Belt is the countryside next door for 30 million people living in our largest towns and cities.  One of the primary roles of the Green Belt is to maintain the openness of the countryside, and it encourages housing to be placed near to where we work and the amenities we need.  </w:t>
      </w:r>
      <w:r w:rsidRPr="0037152A">
        <w:rPr>
          <w:rFonts w:ascii="Calibri" w:hAnsi="Calibri" w:cs="Calibri"/>
          <w:i/>
          <w:color w:val="000000"/>
        </w:rPr>
        <w:t>The countryside near to where people live has never had a greater test of its importance to people’s health and wellbeing than during the start of the coronavirus pandemic.  However, Green Belt land continues to be threatened by development, decreasing its ability to provide for nature and reduce the impacts of climate change and people’s access to green spaces”.</w:t>
      </w:r>
    </w:p>
    <w:p w:rsidR="0041750B" w:rsidRDefault="0041750B" w:rsidP="001D4871">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The report catalogues the continued erosion of Green Belt around the country and th</w:t>
      </w:r>
      <w:r w:rsidR="000D77A5">
        <w:rPr>
          <w:rFonts w:asciiTheme="minorHAnsi" w:hAnsiTheme="minorHAnsi" w:cstheme="minorHAnsi"/>
          <w:szCs w:val="24"/>
          <w:lang w:eastAsia="en-GB"/>
        </w:rPr>
        <w:t>os</w:t>
      </w:r>
      <w:r>
        <w:rPr>
          <w:rFonts w:asciiTheme="minorHAnsi" w:hAnsiTheme="minorHAnsi" w:cstheme="minorHAnsi"/>
          <w:szCs w:val="24"/>
          <w:lang w:eastAsia="en-GB"/>
        </w:rPr>
        <w:t xml:space="preserve">e continued </w:t>
      </w:r>
      <w:r w:rsidR="000D77A5">
        <w:rPr>
          <w:rFonts w:asciiTheme="minorHAnsi" w:hAnsiTheme="minorHAnsi" w:cstheme="minorHAnsi"/>
          <w:szCs w:val="24"/>
          <w:lang w:eastAsia="en-GB"/>
        </w:rPr>
        <w:t>reasons to keep</w:t>
      </w:r>
      <w:r>
        <w:rPr>
          <w:rFonts w:asciiTheme="minorHAnsi" w:hAnsiTheme="minorHAnsi" w:cstheme="minorHAnsi"/>
          <w:szCs w:val="24"/>
          <w:lang w:eastAsia="en-GB"/>
        </w:rPr>
        <w:t xml:space="preserve"> it</w:t>
      </w:r>
      <w:r w:rsidR="000D77A5">
        <w:rPr>
          <w:rFonts w:asciiTheme="minorHAnsi" w:hAnsiTheme="minorHAnsi" w:cstheme="minorHAnsi"/>
          <w:szCs w:val="24"/>
          <w:lang w:eastAsia="en-GB"/>
        </w:rPr>
        <w:t>.</w:t>
      </w:r>
    </w:p>
    <w:p w:rsidR="001D4871" w:rsidRDefault="000D77A5" w:rsidP="001D4871">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Quite apart from these considerations, w</w:t>
      </w:r>
      <w:r w:rsidR="006769B1">
        <w:rPr>
          <w:rFonts w:asciiTheme="minorHAnsi" w:hAnsiTheme="minorHAnsi" w:cstheme="minorHAnsi"/>
          <w:szCs w:val="24"/>
          <w:lang w:eastAsia="en-GB"/>
        </w:rPr>
        <w:t xml:space="preserve">e do not </w:t>
      </w:r>
      <w:r w:rsidR="001D4871">
        <w:rPr>
          <w:rFonts w:asciiTheme="minorHAnsi" w:hAnsiTheme="minorHAnsi" w:cstheme="minorHAnsi"/>
          <w:szCs w:val="24"/>
          <w:lang w:eastAsia="en-GB"/>
        </w:rPr>
        <w:t xml:space="preserve">consider that </w:t>
      </w:r>
      <w:r w:rsidR="006769B1">
        <w:rPr>
          <w:rFonts w:asciiTheme="minorHAnsi" w:hAnsiTheme="minorHAnsi" w:cstheme="minorHAnsi"/>
          <w:szCs w:val="24"/>
          <w:lang w:eastAsia="en-GB"/>
        </w:rPr>
        <w:t xml:space="preserve">the proposals for release of Green Belt land as set out in </w:t>
      </w:r>
      <w:r w:rsidR="001D4871">
        <w:rPr>
          <w:rFonts w:asciiTheme="minorHAnsi" w:hAnsiTheme="minorHAnsi" w:cstheme="minorHAnsi"/>
          <w:szCs w:val="24"/>
          <w:lang w:eastAsia="en-GB"/>
        </w:rPr>
        <w:t xml:space="preserve">Table SP11.1 on page 51 are justified by proportionate evidence or by </w:t>
      </w:r>
      <w:r w:rsidR="006769B1">
        <w:rPr>
          <w:rFonts w:asciiTheme="minorHAnsi" w:hAnsiTheme="minorHAnsi" w:cstheme="minorHAnsi"/>
          <w:szCs w:val="24"/>
          <w:lang w:eastAsia="en-GB"/>
        </w:rPr>
        <w:t>a sufficient exceptional circumstances case.</w:t>
      </w:r>
      <w:r w:rsidR="00D85A4E">
        <w:rPr>
          <w:rFonts w:asciiTheme="minorHAnsi" w:hAnsiTheme="minorHAnsi" w:cstheme="minorHAnsi"/>
          <w:szCs w:val="24"/>
          <w:lang w:eastAsia="en-GB"/>
        </w:rPr>
        <w:t xml:space="preserve"> </w:t>
      </w:r>
    </w:p>
    <w:p w:rsidR="00D85A4E" w:rsidRPr="00D85A4E" w:rsidRDefault="00D85A4E" w:rsidP="00295DC2">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szCs w:val="24"/>
          <w:lang w:eastAsia="en-GB"/>
        </w:rPr>
        <w:t xml:space="preserve">An exceptional circumstances </w:t>
      </w:r>
      <w:r w:rsidR="00295DC2">
        <w:rPr>
          <w:rFonts w:asciiTheme="minorHAnsi" w:hAnsiTheme="minorHAnsi" w:cstheme="minorHAnsi"/>
          <w:szCs w:val="24"/>
          <w:lang w:eastAsia="en-GB"/>
        </w:rPr>
        <w:t xml:space="preserve">case has been </w:t>
      </w:r>
      <w:r>
        <w:rPr>
          <w:rFonts w:asciiTheme="minorHAnsi" w:hAnsiTheme="minorHAnsi" w:cstheme="minorHAnsi"/>
          <w:lang w:eastAsia="en-GB"/>
        </w:rPr>
        <w:t>put forward</w:t>
      </w:r>
      <w:r>
        <w:rPr>
          <w:rFonts w:asciiTheme="minorHAnsi" w:hAnsiTheme="minorHAnsi" w:cstheme="minorHAnsi"/>
          <w:szCs w:val="24"/>
          <w:lang w:eastAsia="en-GB"/>
        </w:rPr>
        <w:t xml:space="preserve"> in the </w:t>
      </w:r>
      <w:r>
        <w:rPr>
          <w:rFonts w:asciiTheme="minorHAnsi" w:hAnsiTheme="minorHAnsi" w:cstheme="minorHAnsi"/>
          <w:lang w:eastAsia="en-GB"/>
        </w:rPr>
        <w:t xml:space="preserve">Evidence Base paper </w:t>
      </w:r>
      <w:r w:rsidRPr="00295DC2">
        <w:rPr>
          <w:rFonts w:asciiTheme="minorHAnsi" w:hAnsiTheme="minorHAnsi" w:cstheme="minorHAnsi"/>
          <w:i/>
          <w:lang w:eastAsia="en-GB"/>
        </w:rPr>
        <w:t xml:space="preserve">“Shropshire Council </w:t>
      </w:r>
      <w:r w:rsidR="00295DC2" w:rsidRPr="00295DC2">
        <w:rPr>
          <w:rFonts w:asciiTheme="minorHAnsi" w:hAnsiTheme="minorHAnsi" w:cstheme="minorHAnsi"/>
          <w:i/>
          <w:lang w:eastAsia="en-GB"/>
        </w:rPr>
        <w:t xml:space="preserve">- </w:t>
      </w:r>
      <w:r w:rsidRPr="00D85A4E">
        <w:rPr>
          <w:rFonts w:asciiTheme="minorHAnsi" w:hAnsiTheme="minorHAnsi" w:cstheme="minorHAnsi"/>
          <w:i/>
          <w:color w:val="000000"/>
          <w:szCs w:val="24"/>
          <w:lang w:eastAsia="en-GB"/>
        </w:rPr>
        <w:t>Green Belt Release Exceptional Circumstances</w:t>
      </w:r>
      <w:r w:rsidRPr="00295DC2">
        <w:rPr>
          <w:rFonts w:asciiTheme="minorHAnsi" w:hAnsiTheme="minorHAnsi" w:cstheme="minorHAnsi"/>
          <w:i/>
          <w:lang w:eastAsia="en-GB"/>
        </w:rPr>
        <w:t>,</w:t>
      </w:r>
      <w:r w:rsidRPr="00D85A4E">
        <w:rPr>
          <w:rFonts w:asciiTheme="minorHAnsi" w:hAnsiTheme="minorHAnsi" w:cstheme="minorHAnsi"/>
          <w:i/>
          <w:color w:val="000000"/>
          <w:szCs w:val="24"/>
          <w:lang w:eastAsia="en-GB"/>
        </w:rPr>
        <w:t xml:space="preserve"> </w:t>
      </w:r>
      <w:r w:rsidRPr="00295DC2">
        <w:rPr>
          <w:rFonts w:asciiTheme="minorHAnsi" w:hAnsiTheme="minorHAnsi" w:cstheme="minorHAnsi"/>
          <w:i/>
          <w:lang w:eastAsia="en-GB"/>
        </w:rPr>
        <w:t>December 2020</w:t>
      </w:r>
      <w:r w:rsidR="00295DC2" w:rsidRPr="00295DC2">
        <w:rPr>
          <w:rFonts w:asciiTheme="minorHAnsi" w:hAnsiTheme="minorHAnsi" w:cstheme="minorHAnsi"/>
          <w:i/>
          <w:lang w:eastAsia="en-GB"/>
        </w:rPr>
        <w:t>”</w:t>
      </w:r>
      <w:r w:rsidR="00295DC2">
        <w:rPr>
          <w:rFonts w:asciiTheme="minorHAnsi" w:hAnsiTheme="minorHAnsi" w:cstheme="minorHAnsi"/>
          <w:lang w:eastAsia="en-GB"/>
        </w:rPr>
        <w:t xml:space="preserve"> which is essentially that development pressure, partly emanating from the West Midlands and along the M54 corridor, represents good reason for releasing Green Belt land.  Nowhere however, is the extent of that case quantified.  It is not justified by proportionate evidence.</w:t>
      </w:r>
    </w:p>
    <w:p w:rsidR="00D85A4E" w:rsidRPr="00D85A4E" w:rsidRDefault="00295DC2" w:rsidP="00D85A4E">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Our concern is that, particularly for Shifnal, the Council’s figures are simply wrong.  We elaborate below within our comments for settlement policy S15 for the Shifnal Place Plan area.</w:t>
      </w:r>
      <w:r w:rsidR="0037152A">
        <w:rPr>
          <w:rFonts w:asciiTheme="minorHAnsi" w:hAnsiTheme="minorHAnsi" w:cstheme="minorHAnsi"/>
          <w:color w:val="000000"/>
          <w:szCs w:val="24"/>
          <w:lang w:eastAsia="en-GB"/>
        </w:rPr>
        <w:t xml:space="preserve">  </w:t>
      </w:r>
      <w:r w:rsidR="0037152A">
        <w:rPr>
          <w:rFonts w:asciiTheme="minorHAnsi" w:eastAsia="Arial" w:hAnsiTheme="minorHAnsi" w:cstheme="minorHAnsi"/>
          <w:color w:val="000000" w:themeColor="text1"/>
          <w:szCs w:val="24"/>
          <w:lang w:val="en-US"/>
        </w:rPr>
        <w:t>Apart from at RAF Cosford</w:t>
      </w:r>
      <w:r w:rsidR="007673BE">
        <w:rPr>
          <w:rFonts w:asciiTheme="minorHAnsi" w:eastAsia="Arial" w:hAnsiTheme="minorHAnsi" w:cstheme="minorHAnsi"/>
          <w:color w:val="000000" w:themeColor="text1"/>
          <w:szCs w:val="24"/>
          <w:lang w:val="en-US"/>
        </w:rPr>
        <w:t>,</w:t>
      </w:r>
      <w:r w:rsidR="0037152A">
        <w:rPr>
          <w:rFonts w:asciiTheme="minorHAnsi" w:eastAsia="Arial" w:hAnsiTheme="minorHAnsi" w:cstheme="minorHAnsi"/>
          <w:color w:val="000000" w:themeColor="text1"/>
          <w:szCs w:val="24"/>
          <w:lang w:val="en-US"/>
        </w:rPr>
        <w:t xml:space="preserve"> the largest proposed releases of Green Belt are around Shifnal.</w:t>
      </w:r>
    </w:p>
    <w:p w:rsidR="006769B1" w:rsidRPr="0041750B" w:rsidRDefault="00B06F49" w:rsidP="001D4871">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lastRenderedPageBreak/>
        <w:t>There appears to be</w:t>
      </w:r>
      <w:r w:rsidR="006769B1">
        <w:rPr>
          <w:rFonts w:asciiTheme="minorHAnsi" w:hAnsiTheme="minorHAnsi" w:cstheme="minorHAnsi"/>
          <w:szCs w:val="24"/>
          <w:lang w:eastAsia="en-GB"/>
        </w:rPr>
        <w:t xml:space="preserve"> no need to release the RAF Cosford land from the Green Belt because existing policies</w:t>
      </w:r>
      <w:r w:rsidR="0037152A">
        <w:rPr>
          <w:rStyle w:val="FootnoteReference"/>
          <w:rFonts w:asciiTheme="minorHAnsi" w:hAnsiTheme="minorHAnsi" w:cstheme="minorHAnsi"/>
          <w:szCs w:val="24"/>
          <w:lang w:eastAsia="en-GB"/>
        </w:rPr>
        <w:footnoteReference w:id="23"/>
      </w:r>
      <w:r w:rsidR="006769B1">
        <w:rPr>
          <w:rFonts w:asciiTheme="minorHAnsi" w:hAnsiTheme="minorHAnsi" w:cstheme="minorHAnsi"/>
          <w:szCs w:val="24"/>
          <w:lang w:eastAsia="en-GB"/>
        </w:rPr>
        <w:t xml:space="preserve"> </w:t>
      </w:r>
      <w:r w:rsidR="0037152A">
        <w:rPr>
          <w:rFonts w:asciiTheme="minorHAnsi" w:hAnsiTheme="minorHAnsi" w:cstheme="minorHAnsi"/>
          <w:szCs w:val="24"/>
          <w:lang w:eastAsia="en-GB"/>
        </w:rPr>
        <w:t xml:space="preserve">already allow for the type of military-related </w:t>
      </w:r>
      <w:r w:rsidR="006769B1">
        <w:rPr>
          <w:rFonts w:asciiTheme="minorHAnsi" w:hAnsiTheme="minorHAnsi" w:cstheme="minorHAnsi"/>
          <w:szCs w:val="24"/>
          <w:lang w:eastAsia="en-GB"/>
        </w:rPr>
        <w:t>development being proposed by RAF Cosford.</w:t>
      </w:r>
      <w:r w:rsidR="0037152A">
        <w:rPr>
          <w:rFonts w:asciiTheme="minorHAnsi" w:hAnsiTheme="minorHAnsi" w:cstheme="minorHAnsi"/>
          <w:szCs w:val="24"/>
          <w:lang w:eastAsia="en-GB"/>
        </w:rPr>
        <w:t xml:space="preserve">  </w:t>
      </w:r>
      <w:r>
        <w:rPr>
          <w:rFonts w:asciiTheme="minorHAnsi" w:hAnsiTheme="minorHAnsi" w:cstheme="minorHAnsi"/>
          <w:szCs w:val="24"/>
          <w:lang w:eastAsia="en-GB"/>
        </w:rPr>
        <w:t xml:space="preserve">There is certainly no need, justified by proportionate evidence, to release as much land (214.2 Ha, or 529 acres) as is proposed </w:t>
      </w:r>
      <w:r w:rsidR="008E790C">
        <w:rPr>
          <w:rFonts w:asciiTheme="minorHAnsi" w:hAnsiTheme="minorHAnsi" w:cstheme="minorHAnsi"/>
          <w:szCs w:val="24"/>
          <w:lang w:eastAsia="en-GB"/>
        </w:rPr>
        <w:t xml:space="preserve">in order </w:t>
      </w:r>
      <w:r>
        <w:rPr>
          <w:rFonts w:asciiTheme="minorHAnsi" w:hAnsiTheme="minorHAnsi" w:cstheme="minorHAnsi"/>
          <w:szCs w:val="24"/>
          <w:lang w:eastAsia="en-GB"/>
        </w:rPr>
        <w:t xml:space="preserve">to accommodate </w:t>
      </w:r>
      <w:r w:rsidR="008E790C">
        <w:rPr>
          <w:rFonts w:asciiTheme="minorHAnsi" w:hAnsiTheme="minorHAnsi" w:cstheme="minorHAnsi"/>
          <w:szCs w:val="24"/>
          <w:lang w:eastAsia="en-GB"/>
        </w:rPr>
        <w:t xml:space="preserve">simply </w:t>
      </w:r>
      <w:r>
        <w:rPr>
          <w:rFonts w:asciiTheme="minorHAnsi" w:hAnsiTheme="minorHAnsi" w:cstheme="minorHAnsi"/>
          <w:szCs w:val="24"/>
          <w:lang w:eastAsia="en-GB"/>
        </w:rPr>
        <w:t xml:space="preserve">the uses listed on page 97 of the </w:t>
      </w:r>
      <w:r w:rsidRPr="00D85A4E">
        <w:rPr>
          <w:rFonts w:asciiTheme="minorHAnsi" w:hAnsiTheme="minorHAnsi" w:cstheme="minorHAnsi"/>
          <w:i/>
          <w:color w:val="000000"/>
          <w:szCs w:val="24"/>
          <w:lang w:eastAsia="en-GB"/>
        </w:rPr>
        <w:t>Green Belt Release Exceptional Circumstances</w:t>
      </w:r>
      <w:r>
        <w:rPr>
          <w:rFonts w:asciiTheme="minorHAnsi" w:hAnsiTheme="minorHAnsi" w:cstheme="minorHAnsi"/>
          <w:i/>
          <w:color w:val="000000"/>
          <w:szCs w:val="24"/>
          <w:lang w:eastAsia="en-GB"/>
        </w:rPr>
        <w:t xml:space="preserve"> </w:t>
      </w:r>
      <w:r w:rsidRPr="00B06F49">
        <w:rPr>
          <w:rFonts w:asciiTheme="minorHAnsi" w:hAnsiTheme="minorHAnsi" w:cstheme="minorHAnsi"/>
          <w:color w:val="000000"/>
          <w:szCs w:val="24"/>
          <w:lang w:eastAsia="en-GB"/>
        </w:rPr>
        <w:t>paper</w:t>
      </w:r>
      <w:r>
        <w:rPr>
          <w:rFonts w:asciiTheme="minorHAnsi" w:hAnsiTheme="minorHAnsi" w:cstheme="minorHAnsi"/>
          <w:color w:val="000000"/>
          <w:szCs w:val="24"/>
          <w:lang w:eastAsia="en-GB"/>
        </w:rPr>
        <w:t xml:space="preserve">.  Again, there may be a case for releasing some land, but no evidence is given </w:t>
      </w:r>
      <w:r w:rsidR="008E790C">
        <w:rPr>
          <w:rFonts w:asciiTheme="minorHAnsi" w:hAnsiTheme="minorHAnsi" w:cstheme="minorHAnsi"/>
          <w:color w:val="000000"/>
          <w:szCs w:val="24"/>
          <w:lang w:eastAsia="en-GB"/>
        </w:rPr>
        <w:t>to support</w:t>
      </w:r>
      <w:r>
        <w:rPr>
          <w:rFonts w:asciiTheme="minorHAnsi" w:hAnsiTheme="minorHAnsi" w:cstheme="minorHAnsi"/>
          <w:color w:val="000000"/>
          <w:szCs w:val="24"/>
          <w:lang w:eastAsia="en-GB"/>
        </w:rPr>
        <w:t xml:space="preserve"> </w:t>
      </w:r>
      <w:r w:rsidR="008E790C">
        <w:rPr>
          <w:rFonts w:asciiTheme="minorHAnsi" w:hAnsiTheme="minorHAnsi" w:cstheme="minorHAnsi"/>
          <w:color w:val="000000"/>
          <w:szCs w:val="24"/>
          <w:lang w:eastAsia="en-GB"/>
        </w:rPr>
        <w:t xml:space="preserve">how </w:t>
      </w:r>
      <w:r>
        <w:rPr>
          <w:rFonts w:asciiTheme="minorHAnsi" w:hAnsiTheme="minorHAnsi" w:cstheme="minorHAnsi"/>
          <w:color w:val="000000"/>
          <w:szCs w:val="24"/>
          <w:lang w:eastAsia="en-GB"/>
        </w:rPr>
        <w:t xml:space="preserve">the actual </w:t>
      </w:r>
      <w:r w:rsidR="008E790C">
        <w:rPr>
          <w:rFonts w:asciiTheme="minorHAnsi" w:hAnsiTheme="minorHAnsi" w:cstheme="minorHAnsi"/>
          <w:color w:val="000000"/>
          <w:szCs w:val="24"/>
          <w:lang w:eastAsia="en-GB"/>
        </w:rPr>
        <w:t>area</w:t>
      </w:r>
      <w:r>
        <w:rPr>
          <w:rFonts w:asciiTheme="minorHAnsi" w:hAnsiTheme="minorHAnsi" w:cstheme="minorHAnsi"/>
          <w:color w:val="000000"/>
          <w:szCs w:val="24"/>
          <w:lang w:eastAsia="en-GB"/>
        </w:rPr>
        <w:t xml:space="preserve"> of land being proposed</w:t>
      </w:r>
      <w:r w:rsidR="008E790C">
        <w:rPr>
          <w:rFonts w:asciiTheme="minorHAnsi" w:hAnsiTheme="minorHAnsi" w:cstheme="minorHAnsi"/>
          <w:color w:val="000000"/>
          <w:szCs w:val="24"/>
          <w:lang w:eastAsia="en-GB"/>
        </w:rPr>
        <w:t xml:space="preserve"> has been calculated</w:t>
      </w:r>
      <w:r>
        <w:rPr>
          <w:rFonts w:asciiTheme="minorHAnsi" w:hAnsiTheme="minorHAnsi" w:cstheme="minorHAnsi"/>
          <w:color w:val="000000"/>
          <w:szCs w:val="24"/>
          <w:lang w:eastAsia="en-GB"/>
        </w:rPr>
        <w:t>.</w:t>
      </w:r>
    </w:p>
    <w:p w:rsidR="0041750B" w:rsidRPr="00B06F49" w:rsidRDefault="0041750B" w:rsidP="001D4871">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The above considerations indicate that the quantum of land proposed to be released from the Green Belt, both within this plan period and as safeguarded land, should be re-examined at Examination in Public.</w:t>
      </w:r>
    </w:p>
    <w:p w:rsidR="006769B1" w:rsidRDefault="00B06F49" w:rsidP="00C60006">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szCs w:val="24"/>
          <w:lang w:val="en-US"/>
        </w:rPr>
        <w:t>The land required for the Midlands Air Ambulance headquarters is an issue separate from that o</w:t>
      </w:r>
      <w:r w:rsidR="00B067F4">
        <w:rPr>
          <w:rFonts w:asciiTheme="minorHAnsi" w:eastAsia="Arial" w:hAnsiTheme="minorHAnsi" w:cstheme="minorHAnsi"/>
          <w:color w:val="000000" w:themeColor="text1"/>
          <w:szCs w:val="24"/>
          <w:lang w:val="en-US"/>
        </w:rPr>
        <w:t>f the existing RAF Cosford land.  Planning permission has already been granted for it</w:t>
      </w:r>
      <w:r w:rsidR="0041750B">
        <w:rPr>
          <w:rFonts w:asciiTheme="minorHAnsi" w:eastAsia="Arial" w:hAnsiTheme="minorHAnsi" w:cstheme="minorHAnsi"/>
          <w:color w:val="000000" w:themeColor="text1"/>
          <w:szCs w:val="24"/>
          <w:lang w:val="en-US"/>
        </w:rPr>
        <w:t xml:space="preserve">, </w:t>
      </w:r>
      <w:r w:rsidR="00B067F4">
        <w:rPr>
          <w:rFonts w:asciiTheme="minorHAnsi" w:eastAsia="Arial" w:hAnsiTheme="minorHAnsi" w:cstheme="minorHAnsi"/>
          <w:color w:val="000000" w:themeColor="text1"/>
          <w:szCs w:val="24"/>
          <w:lang w:val="en-US"/>
        </w:rPr>
        <w:t>under delegated authority on 19 January 2020</w:t>
      </w:r>
      <w:r>
        <w:rPr>
          <w:rFonts w:asciiTheme="minorHAnsi" w:eastAsia="Arial" w:hAnsiTheme="minorHAnsi" w:cstheme="minorHAnsi"/>
          <w:color w:val="000000" w:themeColor="text1"/>
          <w:szCs w:val="24"/>
          <w:lang w:val="en-US"/>
        </w:rPr>
        <w:t xml:space="preserve"> </w:t>
      </w:r>
      <w:r w:rsidR="00B067F4">
        <w:rPr>
          <w:rFonts w:asciiTheme="minorHAnsi" w:eastAsia="Arial" w:hAnsiTheme="minorHAnsi" w:cstheme="minorHAnsi"/>
          <w:color w:val="000000" w:themeColor="text1"/>
          <w:szCs w:val="24"/>
          <w:lang w:val="en-US"/>
        </w:rPr>
        <w:t>(i.e. during this consultation)</w:t>
      </w:r>
      <w:r w:rsidR="0041750B">
        <w:rPr>
          <w:rFonts w:asciiTheme="minorHAnsi" w:eastAsia="Arial" w:hAnsiTheme="minorHAnsi" w:cstheme="minorHAnsi"/>
          <w:color w:val="000000" w:themeColor="text1"/>
          <w:szCs w:val="24"/>
          <w:lang w:val="en-US"/>
        </w:rPr>
        <w:t>,</w:t>
      </w:r>
      <w:r w:rsidR="00B067F4">
        <w:rPr>
          <w:rFonts w:asciiTheme="minorHAnsi" w:eastAsia="Arial" w:hAnsiTheme="minorHAnsi" w:cstheme="minorHAnsi"/>
          <w:color w:val="000000" w:themeColor="text1"/>
          <w:szCs w:val="24"/>
          <w:lang w:val="en-US"/>
        </w:rPr>
        <w:t xml:space="preserve"> under </w:t>
      </w:r>
      <w:r>
        <w:rPr>
          <w:rFonts w:asciiTheme="minorHAnsi" w:eastAsia="Arial" w:hAnsiTheme="minorHAnsi" w:cstheme="minorHAnsi"/>
          <w:color w:val="000000" w:themeColor="text1"/>
          <w:szCs w:val="24"/>
          <w:lang w:val="en-US"/>
        </w:rPr>
        <w:t xml:space="preserve">ref </w:t>
      </w:r>
      <w:r w:rsidR="007673BE" w:rsidRPr="007673BE">
        <w:rPr>
          <w:rFonts w:asciiTheme="minorHAnsi" w:eastAsia="Arial" w:hAnsiTheme="minorHAnsi" w:cstheme="minorHAnsi"/>
          <w:color w:val="000000" w:themeColor="text1"/>
          <w:szCs w:val="24"/>
          <w:lang w:val="en-US"/>
        </w:rPr>
        <w:t>20/04521/FUL</w:t>
      </w:r>
      <w:r w:rsidR="007673BE">
        <w:rPr>
          <w:rFonts w:asciiTheme="minorHAnsi" w:eastAsia="Arial" w:hAnsiTheme="minorHAnsi" w:cstheme="minorHAnsi"/>
          <w:color w:val="000000" w:themeColor="text1"/>
          <w:szCs w:val="24"/>
          <w:lang w:val="en-US"/>
        </w:rPr>
        <w:t>.</w:t>
      </w:r>
      <w:r w:rsidR="0041750B">
        <w:rPr>
          <w:rFonts w:asciiTheme="minorHAnsi" w:eastAsia="Arial" w:hAnsiTheme="minorHAnsi" w:cstheme="minorHAnsi"/>
          <w:color w:val="000000" w:themeColor="text1"/>
          <w:szCs w:val="24"/>
          <w:lang w:val="en-US"/>
        </w:rPr>
        <w:t xml:space="preserve">  The applicant’s case was accepted that the necessary “</w:t>
      </w:r>
      <w:r w:rsidR="0041750B" w:rsidRPr="0041750B">
        <w:rPr>
          <w:rFonts w:asciiTheme="minorHAnsi" w:eastAsia="Arial" w:hAnsiTheme="minorHAnsi" w:cstheme="minorHAnsi"/>
          <w:color w:val="000000" w:themeColor="text1"/>
          <w:szCs w:val="24"/>
          <w:lang w:val="en-US"/>
        </w:rPr>
        <w:t>very special circumstances” existed for release from the Green Belt.</w:t>
      </w:r>
    </w:p>
    <w:p w:rsidR="005176D0" w:rsidRDefault="000D77A5" w:rsidP="005176D0">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sidRPr="000D77A5">
        <w:rPr>
          <w:rFonts w:asciiTheme="minorHAnsi" w:eastAsia="Arial" w:hAnsiTheme="minorHAnsi" w:cstheme="minorHAnsi"/>
          <w:color w:val="000000" w:themeColor="text1"/>
          <w:szCs w:val="24"/>
          <w:lang w:val="en-US"/>
        </w:rPr>
        <w:t xml:space="preserve">Green Belt land is important not only for the five purposes in NPPF 134 but also for its natural capital value. </w:t>
      </w:r>
      <w:r w:rsidR="005176D0">
        <w:rPr>
          <w:rFonts w:asciiTheme="minorHAnsi" w:eastAsia="Arial" w:hAnsiTheme="minorHAnsi" w:cstheme="minorHAnsi"/>
          <w:color w:val="000000" w:themeColor="text1"/>
          <w:szCs w:val="24"/>
          <w:lang w:val="en-US"/>
        </w:rPr>
        <w:t xml:space="preserve"> </w:t>
      </w:r>
      <w:r>
        <w:rPr>
          <w:rFonts w:asciiTheme="minorHAnsi" w:eastAsia="Arial" w:hAnsiTheme="minorHAnsi" w:cstheme="minorHAnsi"/>
          <w:color w:val="000000" w:themeColor="text1"/>
          <w:szCs w:val="24"/>
          <w:lang w:val="en-US"/>
        </w:rPr>
        <w:t xml:space="preserve">In presenting a </w:t>
      </w:r>
      <w:r w:rsidR="005176D0">
        <w:rPr>
          <w:rFonts w:asciiTheme="minorHAnsi" w:eastAsia="Arial" w:hAnsiTheme="minorHAnsi" w:cstheme="minorHAnsi"/>
          <w:color w:val="000000" w:themeColor="text1"/>
          <w:szCs w:val="24"/>
          <w:lang w:val="en-US"/>
        </w:rPr>
        <w:t>“</w:t>
      </w:r>
      <w:r w:rsidR="005176D0" w:rsidRPr="0041750B">
        <w:rPr>
          <w:rFonts w:asciiTheme="minorHAnsi" w:eastAsia="Arial" w:hAnsiTheme="minorHAnsi" w:cstheme="minorHAnsi"/>
          <w:color w:val="000000" w:themeColor="text1"/>
          <w:szCs w:val="24"/>
          <w:lang w:val="en-US"/>
        </w:rPr>
        <w:t>very special circumstances”</w:t>
      </w:r>
      <w:r w:rsidR="005176D0">
        <w:rPr>
          <w:rFonts w:asciiTheme="minorHAnsi" w:eastAsia="Arial" w:hAnsiTheme="minorHAnsi" w:cstheme="minorHAnsi"/>
          <w:color w:val="000000" w:themeColor="text1"/>
          <w:szCs w:val="24"/>
          <w:lang w:val="en-US"/>
        </w:rPr>
        <w:t xml:space="preserve"> case (clause 3b) applicants should be required to quantify:</w:t>
      </w:r>
    </w:p>
    <w:p w:rsidR="005176D0" w:rsidRDefault="0041750B" w:rsidP="002427CD">
      <w:pPr>
        <w:pStyle w:val="ListParagraph"/>
        <w:numPr>
          <w:ilvl w:val="0"/>
          <w:numId w:val="21"/>
        </w:numPr>
        <w:spacing w:before="120" w:line="300" w:lineRule="auto"/>
        <w:ind w:left="567" w:hanging="567"/>
        <w:contextualSpacing w:val="0"/>
        <w:textAlignment w:val="baseline"/>
        <w:rPr>
          <w:rFonts w:asciiTheme="minorHAnsi" w:eastAsia="Arial" w:hAnsiTheme="minorHAnsi" w:cstheme="minorHAnsi"/>
          <w:color w:val="000000" w:themeColor="text1"/>
          <w:szCs w:val="24"/>
          <w:lang w:val="en-US"/>
        </w:rPr>
      </w:pPr>
      <w:r w:rsidRPr="000D77A5">
        <w:rPr>
          <w:rFonts w:asciiTheme="minorHAnsi" w:eastAsia="Arial" w:hAnsiTheme="minorHAnsi" w:cstheme="minorHAnsi"/>
          <w:color w:val="000000" w:themeColor="text1"/>
          <w:szCs w:val="24"/>
          <w:lang w:val="en-US"/>
        </w:rPr>
        <w:t xml:space="preserve">lost food production value per hectare at current productivity rates, </w:t>
      </w:r>
      <w:r w:rsidR="005176D0">
        <w:rPr>
          <w:rFonts w:asciiTheme="minorHAnsi" w:eastAsia="Arial" w:hAnsiTheme="minorHAnsi" w:cstheme="minorHAnsi"/>
          <w:color w:val="000000" w:themeColor="text1"/>
          <w:szCs w:val="24"/>
          <w:lang w:val="en-US"/>
        </w:rPr>
        <w:t>and what that means for UK self-sufficiency;</w:t>
      </w:r>
    </w:p>
    <w:p w:rsidR="005176D0" w:rsidRDefault="0041750B" w:rsidP="002427CD">
      <w:pPr>
        <w:pStyle w:val="ListParagraph"/>
        <w:numPr>
          <w:ilvl w:val="0"/>
          <w:numId w:val="21"/>
        </w:numPr>
        <w:spacing w:before="120" w:line="300" w:lineRule="auto"/>
        <w:ind w:left="567" w:hanging="567"/>
        <w:contextualSpacing w:val="0"/>
        <w:textAlignment w:val="baseline"/>
        <w:rPr>
          <w:rFonts w:asciiTheme="minorHAnsi" w:eastAsia="Arial" w:hAnsiTheme="minorHAnsi" w:cstheme="minorHAnsi"/>
          <w:color w:val="000000" w:themeColor="text1"/>
          <w:szCs w:val="24"/>
          <w:lang w:val="en-US"/>
        </w:rPr>
      </w:pPr>
      <w:r w:rsidRPr="000D77A5">
        <w:rPr>
          <w:rFonts w:asciiTheme="minorHAnsi" w:eastAsia="Arial" w:hAnsiTheme="minorHAnsi" w:cstheme="minorHAnsi"/>
          <w:color w:val="000000" w:themeColor="text1"/>
          <w:szCs w:val="24"/>
          <w:lang w:val="en-US"/>
        </w:rPr>
        <w:t>lost carbon absorption in tonnes per hectare</w:t>
      </w:r>
      <w:r w:rsidR="005176D0">
        <w:rPr>
          <w:rFonts w:asciiTheme="minorHAnsi" w:eastAsia="Arial" w:hAnsiTheme="minorHAnsi" w:cstheme="minorHAnsi"/>
          <w:color w:val="000000" w:themeColor="text1"/>
          <w:szCs w:val="24"/>
          <w:lang w:val="en-US"/>
        </w:rPr>
        <w:t>;</w:t>
      </w:r>
      <w:r w:rsidRPr="000D77A5">
        <w:rPr>
          <w:rFonts w:asciiTheme="minorHAnsi" w:eastAsia="Arial" w:hAnsiTheme="minorHAnsi" w:cstheme="minorHAnsi"/>
          <w:color w:val="000000" w:themeColor="text1"/>
          <w:szCs w:val="24"/>
          <w:lang w:val="en-US"/>
        </w:rPr>
        <w:t xml:space="preserve"> and </w:t>
      </w:r>
    </w:p>
    <w:p w:rsidR="0041750B" w:rsidRPr="005176D0" w:rsidRDefault="0041750B" w:rsidP="002427CD">
      <w:pPr>
        <w:pStyle w:val="ListParagraph"/>
        <w:numPr>
          <w:ilvl w:val="0"/>
          <w:numId w:val="21"/>
        </w:numPr>
        <w:spacing w:before="120" w:line="300" w:lineRule="auto"/>
        <w:ind w:left="567" w:hanging="567"/>
        <w:contextualSpacing w:val="0"/>
        <w:textAlignment w:val="baseline"/>
        <w:rPr>
          <w:rFonts w:asciiTheme="minorHAnsi" w:eastAsia="Arial" w:hAnsiTheme="minorHAnsi" w:cstheme="minorHAnsi"/>
          <w:color w:val="000000" w:themeColor="text1"/>
          <w:szCs w:val="24"/>
          <w:lang w:val="en-US"/>
        </w:rPr>
      </w:pPr>
      <w:r w:rsidRPr="000D77A5">
        <w:rPr>
          <w:rFonts w:asciiTheme="minorHAnsi" w:eastAsia="Arial" w:hAnsiTheme="minorHAnsi" w:cstheme="minorHAnsi"/>
          <w:color w:val="000000" w:themeColor="text1"/>
          <w:szCs w:val="24"/>
          <w:lang w:val="en-US"/>
        </w:rPr>
        <w:t>lost biodiversity value.</w:t>
      </w:r>
    </w:p>
    <w:p w:rsidR="00C60006" w:rsidRPr="00635474" w:rsidRDefault="00C60006" w:rsidP="00C60006">
      <w:pPr>
        <w:pStyle w:val="Heading2"/>
        <w:keepNext w:val="0"/>
        <w:spacing w:before="240" w:after="120"/>
        <w:rPr>
          <w:rFonts w:asciiTheme="minorHAnsi" w:eastAsiaTheme="minorHAnsi" w:hAnsiTheme="minorHAnsi" w:cstheme="minorHAnsi"/>
          <w:b/>
          <w:i/>
          <w:color w:val="0070C0"/>
          <w:sz w:val="28"/>
          <w:szCs w:val="28"/>
          <w:lang w:eastAsia="en-GB"/>
        </w:rPr>
      </w:pPr>
      <w:bookmarkStart w:id="30" w:name="_Toc65242917"/>
      <w:r w:rsidRPr="005307CB">
        <w:rPr>
          <w:rFonts w:asciiTheme="minorHAnsi" w:eastAsiaTheme="minorHAnsi" w:hAnsiTheme="minorHAnsi" w:cstheme="minorHAnsi"/>
          <w:b/>
          <w:i/>
          <w:color w:val="0070C0"/>
          <w:sz w:val="28"/>
          <w:szCs w:val="28"/>
          <w:lang w:eastAsia="en-GB"/>
        </w:rPr>
        <w:t>Modification(s) considered necessary</w:t>
      </w:r>
      <w:bookmarkEnd w:id="30"/>
    </w:p>
    <w:p w:rsidR="00C60006" w:rsidRPr="005176D0" w:rsidRDefault="005176D0" w:rsidP="00C60006">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w w:val="105"/>
          <w:szCs w:val="24"/>
          <w:lang w:val="en-US"/>
        </w:rPr>
        <w:t>Because of the doubts about the quantum of the proposed releases from the Green Belt, the figures should be re-examined.</w:t>
      </w:r>
    </w:p>
    <w:p w:rsidR="005176D0" w:rsidRDefault="005176D0" w:rsidP="00C60006">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szCs w:val="24"/>
          <w:lang w:val="en-US"/>
        </w:rPr>
        <w:t>Text should be added after cl</w:t>
      </w:r>
      <w:r w:rsidR="008E790C">
        <w:rPr>
          <w:rFonts w:asciiTheme="minorHAnsi" w:eastAsia="Arial" w:hAnsiTheme="minorHAnsi" w:cstheme="minorHAnsi"/>
          <w:color w:val="000000" w:themeColor="text1"/>
          <w:szCs w:val="24"/>
          <w:lang w:val="en-US"/>
        </w:rPr>
        <w:t>ause 3b in line with paragraph 8</w:t>
      </w:r>
      <w:r>
        <w:rPr>
          <w:rFonts w:asciiTheme="minorHAnsi" w:eastAsia="Arial" w:hAnsiTheme="minorHAnsi" w:cstheme="minorHAnsi"/>
          <w:color w:val="000000" w:themeColor="text1"/>
          <w:szCs w:val="24"/>
          <w:lang w:val="en-US"/>
        </w:rPr>
        <w:t>.9 above.</w:t>
      </w:r>
    </w:p>
    <w:p w:rsidR="00650C0E" w:rsidRDefault="00650C0E" w:rsidP="00650C0E">
      <w:pPr>
        <w:pStyle w:val="ListParagraph"/>
        <w:spacing w:before="240" w:line="300" w:lineRule="auto"/>
        <w:contextualSpacing w:val="0"/>
        <w:textAlignment w:val="baseline"/>
        <w:rPr>
          <w:rFonts w:asciiTheme="minorHAnsi" w:eastAsia="Arial" w:hAnsiTheme="minorHAnsi" w:cstheme="minorHAnsi"/>
          <w:color w:val="000000" w:themeColor="text1"/>
          <w:szCs w:val="24"/>
          <w:lang w:val="en-US"/>
        </w:rPr>
        <w:sectPr w:rsidR="00650C0E" w:rsidSect="00A9153A">
          <w:pgSz w:w="11906" w:h="16838" w:code="9"/>
          <w:pgMar w:top="1134" w:right="1440" w:bottom="567" w:left="1440" w:header="567" w:footer="624" w:gutter="0"/>
          <w:cols w:space="708"/>
          <w:docGrid w:linePitch="360"/>
        </w:sectPr>
      </w:pPr>
    </w:p>
    <w:p w:rsidR="00F47072" w:rsidRDefault="00F47072" w:rsidP="00F47072">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31" w:name="_Toc65242918"/>
      <w:r>
        <w:rPr>
          <w:rFonts w:asciiTheme="minorHAnsi" w:hAnsiTheme="minorHAnsi" w:cstheme="minorHAnsi"/>
          <w:b/>
          <w:color w:val="0070C0"/>
          <w:sz w:val="36"/>
          <w:szCs w:val="36"/>
          <w:lang w:eastAsia="en-GB"/>
        </w:rPr>
        <w:lastRenderedPageBreak/>
        <w:t>SP12 Shropshire Economic Growth Strategy</w:t>
      </w:r>
      <w:bookmarkEnd w:id="31"/>
    </w:p>
    <w:p w:rsidR="00F47072" w:rsidRPr="00FE2663" w:rsidRDefault="00F47072" w:rsidP="00F47072">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F47072" w:rsidRPr="00FE2663" w:rsidRDefault="00F47072" w:rsidP="00F47072">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F47072" w:rsidRPr="00A17498" w:rsidTr="00E233E9">
        <w:trPr>
          <w:trHeight w:val="283"/>
        </w:trPr>
        <w:tc>
          <w:tcPr>
            <w:tcW w:w="567" w:type="dxa"/>
            <w:tcBorders>
              <w:right w:val="single" w:sz="4" w:space="0" w:color="auto"/>
            </w:tcBorders>
            <w:vAlign w:val="center"/>
          </w:tcPr>
          <w:p w:rsidR="00F47072" w:rsidRPr="00A17498" w:rsidRDefault="00F47072" w:rsidP="00E233E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F47072" w:rsidRPr="001251D0" w:rsidRDefault="00F47072" w:rsidP="00E233E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F47072" w:rsidRPr="00A17498" w:rsidRDefault="00F47072" w:rsidP="00F47072">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F47072" w:rsidRPr="00A17498" w:rsidTr="00E233E9">
        <w:trPr>
          <w:trHeight w:val="283"/>
        </w:trPr>
        <w:tc>
          <w:tcPr>
            <w:tcW w:w="1134" w:type="dxa"/>
            <w:tcBorders>
              <w:top w:val="nil"/>
              <w:left w:val="nil"/>
              <w:bottom w:val="nil"/>
              <w:right w:val="single" w:sz="4" w:space="0" w:color="auto"/>
            </w:tcBorders>
            <w:vAlign w:val="center"/>
          </w:tcPr>
          <w:p w:rsidR="00F47072" w:rsidRPr="00A17498" w:rsidRDefault="00F47072" w:rsidP="00E233E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F47072" w:rsidRPr="00A17498" w:rsidRDefault="00F47072" w:rsidP="00E233E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F47072" w:rsidRPr="00A17498" w:rsidRDefault="00F47072" w:rsidP="00E233E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F47072" w:rsidRPr="00A17498" w:rsidRDefault="00F47072" w:rsidP="00E233E9">
            <w:pPr>
              <w:pStyle w:val="BodyText"/>
              <w:spacing w:after="0"/>
              <w:rPr>
                <w:rFonts w:asciiTheme="minorHAnsi" w:hAnsiTheme="minorHAnsi" w:cstheme="minorHAnsi"/>
              </w:rPr>
            </w:pPr>
            <w:r>
              <w:rPr>
                <w:rFonts w:asciiTheme="minorHAnsi" w:hAnsiTheme="minorHAnsi" w:cstheme="minorHAnsi"/>
              </w:rPr>
              <w:t>SP12</w:t>
            </w:r>
          </w:p>
        </w:tc>
      </w:tr>
    </w:tbl>
    <w:p w:rsidR="00F47072" w:rsidRPr="00A17498" w:rsidRDefault="00F47072" w:rsidP="00F47072">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F47072" w:rsidRPr="00B20DB7" w:rsidTr="00E233E9">
        <w:trPr>
          <w:trHeight w:val="283"/>
        </w:trPr>
        <w:tc>
          <w:tcPr>
            <w:tcW w:w="4820" w:type="dxa"/>
            <w:tcBorders>
              <w:top w:val="nil"/>
              <w:left w:val="nil"/>
              <w:bottom w:val="nil"/>
              <w:right w:val="single" w:sz="4" w:space="0" w:color="auto"/>
            </w:tcBorders>
            <w:vAlign w:val="center"/>
          </w:tcPr>
          <w:p w:rsidR="00F47072" w:rsidRPr="00882F68" w:rsidRDefault="00F47072" w:rsidP="00E233E9">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single" w:sz="4" w:space="0" w:color="auto"/>
              <w:left w:val="single" w:sz="4" w:space="0" w:color="auto"/>
              <w:bottom w:val="single" w:sz="4" w:space="0" w:color="auto"/>
              <w:right w:val="single" w:sz="4" w:space="0" w:color="auto"/>
            </w:tcBorders>
            <w:vAlign w:val="center"/>
          </w:tcPr>
          <w:p w:rsidR="00F47072" w:rsidRPr="00CD44CB" w:rsidRDefault="00F47072" w:rsidP="00E233E9">
            <w:pPr>
              <w:rPr>
                <w:rFonts w:ascii="Arial" w:eastAsiaTheme="minorHAnsi" w:hAnsi="Arial" w:cs="Arial"/>
                <w:color w:val="000000"/>
                <w:sz w:val="20"/>
                <w:szCs w:val="20"/>
              </w:rPr>
            </w:pPr>
            <w:r w:rsidRPr="00CD44CB">
              <w:rPr>
                <w:rFonts w:ascii="Arial" w:eastAsiaTheme="minorHAnsi" w:hAnsi="Arial" w:cs="Arial"/>
                <w:color w:val="000000"/>
                <w:sz w:val="20"/>
                <w:szCs w:val="20"/>
              </w:rPr>
              <w:t>Yes:</w:t>
            </w:r>
          </w:p>
        </w:tc>
        <w:tc>
          <w:tcPr>
            <w:tcW w:w="567" w:type="dxa"/>
            <w:tcBorders>
              <w:top w:val="nil"/>
              <w:left w:val="single" w:sz="4" w:space="0" w:color="auto"/>
              <w:bottom w:val="nil"/>
              <w:right w:val="single" w:sz="4" w:space="0" w:color="auto"/>
            </w:tcBorders>
            <w:vAlign w:val="center"/>
          </w:tcPr>
          <w:p w:rsidR="00F47072" w:rsidRPr="00B20DB7" w:rsidRDefault="00F47072" w:rsidP="00E233E9">
            <w:pPr>
              <w:rPr>
                <w:rFonts w:ascii="Verdana" w:eastAsiaTheme="minorHAnsi" w:hAnsi="Verdana" w:cs="Verdana"/>
                <w:color w:val="000000"/>
                <w:sz w:val="20"/>
                <w:szCs w:val="20"/>
              </w:rPr>
            </w:pPr>
          </w:p>
        </w:tc>
        <w:tc>
          <w:tcPr>
            <w:tcW w:w="993" w:type="dxa"/>
            <w:tcBorders>
              <w:top w:val="nil"/>
              <w:left w:val="single" w:sz="4" w:space="0" w:color="auto"/>
              <w:bottom w:val="nil"/>
              <w:right w:val="single" w:sz="4" w:space="0" w:color="auto"/>
            </w:tcBorders>
            <w:vAlign w:val="center"/>
          </w:tcPr>
          <w:p w:rsidR="00F47072" w:rsidRPr="00CD44CB" w:rsidRDefault="00F47072" w:rsidP="00E233E9">
            <w:pPr>
              <w:rPr>
                <w:rFonts w:ascii="Arial" w:eastAsiaTheme="minorHAnsi" w:hAnsi="Arial" w:cs="Arial"/>
                <w:color w:val="000000"/>
                <w:sz w:val="20"/>
                <w:szCs w:val="20"/>
              </w:rPr>
            </w:pPr>
            <w:r w:rsidRPr="00CD44CB">
              <w:rPr>
                <w:rFonts w:ascii="Arial" w:eastAsiaTheme="minorHAnsi" w:hAnsi="Arial" w:cs="Arial"/>
                <w:color w:val="000000"/>
                <w:sz w:val="20"/>
                <w:szCs w:val="20"/>
              </w:rPr>
              <w:t>No:</w:t>
            </w:r>
          </w:p>
        </w:tc>
        <w:tc>
          <w:tcPr>
            <w:tcW w:w="567" w:type="dxa"/>
            <w:tcBorders>
              <w:left w:val="single" w:sz="4" w:space="0" w:color="auto"/>
            </w:tcBorders>
            <w:vAlign w:val="center"/>
          </w:tcPr>
          <w:p w:rsidR="00F47072" w:rsidRPr="00CD44CB" w:rsidRDefault="00F47072" w:rsidP="00E233E9">
            <w:pPr>
              <w:pStyle w:val="ListParagraph"/>
              <w:spacing w:after="0"/>
              <w:contextualSpacing w:val="0"/>
              <w:rPr>
                <w:rFonts w:asciiTheme="minorHAnsi" w:hAnsiTheme="minorHAnsi" w:cstheme="minorHAnsi"/>
                <w:b/>
              </w:rPr>
            </w:pPr>
            <w:r w:rsidRPr="00CD44CB">
              <w:rPr>
                <w:rFonts w:asciiTheme="minorHAnsi" w:hAnsiTheme="minorHAnsi" w:cstheme="minorHAnsi"/>
                <w:b/>
              </w:rPr>
              <w:t>√</w:t>
            </w:r>
          </w:p>
        </w:tc>
      </w:tr>
    </w:tbl>
    <w:p w:rsidR="00F47072" w:rsidRPr="00864981" w:rsidRDefault="00F47072" w:rsidP="00F47072">
      <w:pPr>
        <w:pStyle w:val="Heading2"/>
        <w:spacing w:before="240" w:after="120"/>
        <w:rPr>
          <w:rFonts w:asciiTheme="minorHAnsi" w:eastAsiaTheme="minorHAnsi" w:hAnsiTheme="minorHAnsi" w:cstheme="minorHAnsi"/>
          <w:b/>
          <w:i/>
          <w:color w:val="0070C0"/>
          <w:sz w:val="28"/>
          <w:szCs w:val="28"/>
          <w:lang w:eastAsia="en-GB"/>
        </w:rPr>
      </w:pPr>
      <w:bookmarkStart w:id="32" w:name="_Toc65242919"/>
      <w:r w:rsidRPr="005307CB">
        <w:rPr>
          <w:rFonts w:asciiTheme="minorHAnsi" w:eastAsiaTheme="minorHAnsi" w:hAnsiTheme="minorHAnsi" w:cstheme="minorHAnsi"/>
          <w:b/>
          <w:i/>
          <w:color w:val="0070C0"/>
          <w:sz w:val="28"/>
          <w:szCs w:val="28"/>
          <w:lang w:eastAsia="en-GB"/>
        </w:rPr>
        <w:t>Details</w:t>
      </w:r>
      <w:bookmarkEnd w:id="32"/>
    </w:p>
    <w:p w:rsidR="00F47072" w:rsidRDefault="00F47072" w:rsidP="001B224C">
      <w:pPr>
        <w:pStyle w:val="ListParagraph"/>
        <w:numPr>
          <w:ilvl w:val="1"/>
          <w:numId w:val="1"/>
        </w:numPr>
        <w:spacing w:before="240" w:line="259" w:lineRule="auto"/>
        <w:ind w:left="0" w:hanging="567"/>
        <w:contextualSpacing w:val="0"/>
        <w:textAlignment w:val="baseline"/>
        <w:rPr>
          <w:rFonts w:asciiTheme="minorHAnsi" w:hAnsiTheme="minorHAnsi" w:cstheme="minorHAnsi"/>
          <w:color w:val="000000"/>
          <w:szCs w:val="24"/>
        </w:rPr>
      </w:pPr>
      <w:r w:rsidRPr="00F47072">
        <w:rPr>
          <w:rFonts w:asciiTheme="minorHAnsi" w:hAnsiTheme="minorHAnsi" w:cstheme="minorHAnsi"/>
          <w:szCs w:val="24"/>
          <w:lang w:eastAsia="en-GB"/>
        </w:rPr>
        <w:t xml:space="preserve">Paragraph 3.109 points to the fact that policy SP12 is under-pinned by the </w:t>
      </w:r>
      <w:r w:rsidRPr="00F47072">
        <w:rPr>
          <w:rFonts w:asciiTheme="minorHAnsi" w:hAnsiTheme="minorHAnsi" w:cstheme="minorHAnsi"/>
          <w:color w:val="000000"/>
          <w:szCs w:val="24"/>
        </w:rPr>
        <w:t xml:space="preserve">Shropshire Economic Growth Strategy 2017 to </w:t>
      </w:r>
      <w:r w:rsidR="001B224C">
        <w:rPr>
          <w:rFonts w:asciiTheme="minorHAnsi" w:hAnsiTheme="minorHAnsi" w:cstheme="minorHAnsi"/>
          <w:color w:val="000000"/>
          <w:szCs w:val="24"/>
        </w:rPr>
        <w:t>2021 (EGS), which is quoted in that paragraph as stating that it seeks:</w:t>
      </w:r>
    </w:p>
    <w:p w:rsidR="001B224C" w:rsidRPr="001B224C" w:rsidRDefault="001B224C" w:rsidP="001B224C">
      <w:pPr>
        <w:pStyle w:val="ListParagraph"/>
        <w:spacing w:before="120" w:after="240" w:line="259" w:lineRule="auto"/>
        <w:ind w:left="567"/>
        <w:contextualSpacing w:val="0"/>
        <w:textAlignment w:val="baseline"/>
        <w:rPr>
          <w:rFonts w:ascii="Arial" w:hAnsi="Arial" w:cs="Arial"/>
          <w:color w:val="000000"/>
          <w:sz w:val="20"/>
          <w:szCs w:val="20"/>
        </w:rPr>
      </w:pPr>
      <w:r w:rsidRPr="001B224C">
        <w:rPr>
          <w:rFonts w:ascii="Arial" w:eastAsia="ArialMT" w:hAnsi="Arial" w:cs="Arial"/>
          <w:color w:val="000000"/>
          <w:sz w:val="20"/>
          <w:szCs w:val="20"/>
        </w:rPr>
        <w:t>“</w:t>
      </w:r>
      <w:r w:rsidRPr="001B224C">
        <w:rPr>
          <w:rFonts w:ascii="Arial" w:eastAsia="ArialMT" w:hAnsi="Arial" w:cs="Arial"/>
          <w:i/>
          <w:iCs/>
          <w:color w:val="000000"/>
          <w:sz w:val="20"/>
          <w:szCs w:val="20"/>
        </w:rPr>
        <w:t>To be the best place to do business and invest, renowned for its pool of local talent and expertise. We will strive to maximise our economic potential and increase productivity by fully utilising the benefits of our special environment and high-quality assets</w:t>
      </w:r>
      <w:r w:rsidRPr="001B224C">
        <w:rPr>
          <w:rFonts w:ascii="Arial" w:eastAsia="ArialMT" w:hAnsi="Arial" w:cs="Arial"/>
          <w:color w:val="000000"/>
          <w:sz w:val="20"/>
          <w:szCs w:val="20"/>
        </w:rPr>
        <w:t>”</w:t>
      </w:r>
    </w:p>
    <w:p w:rsidR="006B6163" w:rsidRDefault="00F47072" w:rsidP="006B6163">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sidRPr="00F47072">
        <w:rPr>
          <w:rFonts w:asciiTheme="minorHAnsi" w:hAnsiTheme="minorHAnsi" w:cstheme="minorHAnsi"/>
          <w:szCs w:val="24"/>
          <w:lang w:eastAsia="en-GB"/>
        </w:rPr>
        <w:t>Our response to the Preferred Scale and Distribution of Development consultation in December 2017 heavily criticised the underlying report</w:t>
      </w:r>
      <w:r w:rsidR="001B224C">
        <w:rPr>
          <w:rFonts w:asciiTheme="minorHAnsi" w:hAnsiTheme="minorHAnsi" w:cstheme="minorHAnsi"/>
          <w:szCs w:val="24"/>
          <w:lang w:eastAsia="en-GB"/>
        </w:rPr>
        <w:t xml:space="preserve"> (</w:t>
      </w:r>
      <w:r w:rsidRPr="00F47072">
        <w:rPr>
          <w:rFonts w:asciiTheme="minorHAnsi" w:hAnsiTheme="minorHAnsi" w:cstheme="minorHAnsi"/>
          <w:szCs w:val="24"/>
          <w:lang w:eastAsia="en-GB"/>
        </w:rPr>
        <w:t>produced by IPPR North</w:t>
      </w:r>
      <w:r w:rsidR="001B224C">
        <w:rPr>
          <w:rFonts w:asciiTheme="minorHAnsi" w:hAnsiTheme="minorHAnsi" w:cstheme="minorHAnsi"/>
          <w:szCs w:val="24"/>
          <w:lang w:eastAsia="en-GB"/>
        </w:rPr>
        <w:t>)</w:t>
      </w:r>
      <w:r w:rsidRPr="00F47072">
        <w:rPr>
          <w:rFonts w:asciiTheme="minorHAnsi" w:hAnsiTheme="minorHAnsi" w:cstheme="minorHAnsi"/>
          <w:szCs w:val="24"/>
          <w:lang w:eastAsia="en-GB"/>
        </w:rPr>
        <w:t xml:space="preserve"> behind </w:t>
      </w:r>
      <w:r>
        <w:rPr>
          <w:rFonts w:asciiTheme="minorHAnsi" w:hAnsiTheme="minorHAnsi" w:cstheme="minorHAnsi"/>
          <w:szCs w:val="24"/>
          <w:lang w:eastAsia="en-GB"/>
        </w:rPr>
        <w:t xml:space="preserve">that </w:t>
      </w:r>
      <w:r w:rsidR="001B224C">
        <w:rPr>
          <w:rFonts w:asciiTheme="minorHAnsi" w:hAnsiTheme="minorHAnsi" w:cstheme="minorHAnsi"/>
          <w:szCs w:val="24"/>
          <w:lang w:eastAsia="en-GB"/>
        </w:rPr>
        <w:t>EGS</w:t>
      </w:r>
      <w:r w:rsidRPr="00F47072">
        <w:rPr>
          <w:rFonts w:asciiTheme="minorHAnsi" w:hAnsiTheme="minorHAnsi" w:cstheme="minorHAnsi"/>
          <w:szCs w:val="24"/>
          <w:lang w:eastAsia="en-GB"/>
        </w:rPr>
        <w:t xml:space="preserve">.  That </w:t>
      </w:r>
      <w:r>
        <w:rPr>
          <w:rFonts w:asciiTheme="minorHAnsi" w:hAnsiTheme="minorHAnsi" w:cstheme="minorHAnsi"/>
          <w:szCs w:val="24"/>
          <w:lang w:eastAsia="en-GB"/>
        </w:rPr>
        <w:t xml:space="preserve">IPPR North </w:t>
      </w:r>
      <w:r w:rsidRPr="00F47072">
        <w:rPr>
          <w:rFonts w:asciiTheme="minorHAnsi" w:hAnsiTheme="minorHAnsi" w:cstheme="minorHAnsi"/>
          <w:szCs w:val="24"/>
          <w:lang w:eastAsia="en-GB"/>
        </w:rPr>
        <w:t xml:space="preserve">report was riddled with errors, many of them typos, but it also included some more fundamental errors.  Its </w:t>
      </w:r>
      <w:r w:rsidRPr="00F47072">
        <w:rPr>
          <w:rFonts w:asciiTheme="minorHAnsi" w:hAnsiTheme="minorHAnsi" w:cstheme="minorHAnsi"/>
          <w:szCs w:val="24"/>
        </w:rPr>
        <w:t xml:space="preserve">promise that </w:t>
      </w:r>
      <w:r w:rsidRPr="00F47072">
        <w:rPr>
          <w:rFonts w:asciiTheme="minorHAnsi" w:hAnsiTheme="minorHAnsi" w:cstheme="minorHAnsi"/>
          <w:i/>
          <w:szCs w:val="24"/>
        </w:rPr>
        <w:t>“Shropshire can be a world leading rural economy by 2030</w:t>
      </w:r>
      <w:r w:rsidRPr="00F47072">
        <w:rPr>
          <w:rFonts w:asciiTheme="minorHAnsi" w:hAnsiTheme="minorHAnsi" w:cstheme="minorHAnsi"/>
          <w:szCs w:val="24"/>
          <w:lang w:eastAsia="en-GB"/>
        </w:rPr>
        <w:t>” seemed more marketing hype than realistic policy, based as it was on a meaningless comparison of a largely rural county like Shropshire with the largely metropolitan UK.  In any case, the conclusions of the report were based not on evidence, but on round-table discussions, several of which were internal to Shropshire Council itself.  It was therefore a subjective report,</w:t>
      </w:r>
      <w:r w:rsidR="006B6163">
        <w:rPr>
          <w:rFonts w:asciiTheme="minorHAnsi" w:hAnsiTheme="minorHAnsi" w:cstheme="minorHAnsi"/>
          <w:szCs w:val="24"/>
          <w:lang w:eastAsia="en-GB"/>
        </w:rPr>
        <w:t xml:space="preserve"> rather than an objective one.</w:t>
      </w:r>
      <w:r w:rsidRPr="00F47072">
        <w:rPr>
          <w:rFonts w:asciiTheme="minorHAnsi" w:hAnsiTheme="minorHAnsi" w:cstheme="minorHAnsi"/>
          <w:szCs w:val="24"/>
          <w:lang w:eastAsia="en-GB"/>
        </w:rPr>
        <w:t xml:space="preserve">  Our conclusion was that the </w:t>
      </w:r>
      <w:r w:rsidR="001B224C">
        <w:rPr>
          <w:rFonts w:asciiTheme="minorHAnsi" w:hAnsiTheme="minorHAnsi" w:cstheme="minorHAnsi"/>
          <w:szCs w:val="24"/>
          <w:lang w:eastAsia="en-GB"/>
        </w:rPr>
        <w:t>EGS</w:t>
      </w:r>
      <w:r w:rsidRPr="00F47072">
        <w:rPr>
          <w:rFonts w:asciiTheme="minorHAnsi" w:hAnsiTheme="minorHAnsi" w:cstheme="minorHAnsi"/>
          <w:szCs w:val="24"/>
          <w:lang w:eastAsia="en-GB"/>
        </w:rPr>
        <w:t xml:space="preserve"> was unsound</w:t>
      </w:r>
      <w:r w:rsidR="006B6163">
        <w:rPr>
          <w:rFonts w:asciiTheme="minorHAnsi" w:hAnsiTheme="minorHAnsi" w:cstheme="minorHAnsi"/>
          <w:szCs w:val="24"/>
          <w:lang w:eastAsia="en-GB"/>
        </w:rPr>
        <w:t xml:space="preserve">, </w:t>
      </w:r>
    </w:p>
    <w:p w:rsidR="00F47072" w:rsidRPr="006B6163" w:rsidRDefault="006B6163" w:rsidP="006B6163">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This conclusion </w:t>
      </w:r>
      <w:r w:rsidR="001B224C">
        <w:rPr>
          <w:rFonts w:asciiTheme="minorHAnsi" w:hAnsiTheme="minorHAnsi" w:cstheme="minorHAnsi"/>
          <w:szCs w:val="24"/>
          <w:lang w:eastAsia="en-GB"/>
        </w:rPr>
        <w:t xml:space="preserve">about the EGS </w:t>
      </w:r>
      <w:r>
        <w:rPr>
          <w:rFonts w:asciiTheme="minorHAnsi" w:hAnsiTheme="minorHAnsi" w:cstheme="minorHAnsi"/>
          <w:szCs w:val="24"/>
          <w:lang w:eastAsia="en-GB"/>
        </w:rPr>
        <w:t xml:space="preserve">was </w:t>
      </w:r>
      <w:r w:rsidR="00F47072" w:rsidRPr="006B6163">
        <w:rPr>
          <w:rFonts w:asciiTheme="minorHAnsi" w:hAnsiTheme="minorHAnsi" w:cstheme="minorHAnsi"/>
          <w:lang w:eastAsia="en-GB"/>
        </w:rPr>
        <w:t xml:space="preserve">underlined by the fact that that no Sustainability Appraisal had been carried out for </w:t>
      </w:r>
      <w:r>
        <w:rPr>
          <w:rFonts w:asciiTheme="minorHAnsi" w:hAnsiTheme="minorHAnsi" w:cstheme="minorHAnsi"/>
          <w:lang w:eastAsia="en-GB"/>
        </w:rPr>
        <w:t>it at the time</w:t>
      </w:r>
      <w:r w:rsidR="00F47072" w:rsidRPr="006B6163">
        <w:rPr>
          <w:rFonts w:asciiTheme="minorHAnsi" w:hAnsiTheme="minorHAnsi" w:cstheme="minorHAnsi"/>
          <w:lang w:eastAsia="en-GB"/>
        </w:rPr>
        <w:t xml:space="preserve">.  A four-paragraph section on </w:t>
      </w:r>
      <w:r>
        <w:rPr>
          <w:rFonts w:asciiTheme="minorHAnsi" w:hAnsiTheme="minorHAnsi" w:cstheme="minorHAnsi"/>
          <w:lang w:eastAsia="en-GB"/>
        </w:rPr>
        <w:t>the</w:t>
      </w:r>
      <w:r w:rsidR="00F47072" w:rsidRPr="006B6163">
        <w:rPr>
          <w:rFonts w:asciiTheme="minorHAnsi" w:hAnsiTheme="minorHAnsi" w:cstheme="minorHAnsi"/>
          <w:lang w:eastAsia="en-GB"/>
        </w:rPr>
        <w:t xml:space="preserve"> Shropshire Economic Growth Strategy h</w:t>
      </w:r>
      <w:r>
        <w:rPr>
          <w:rFonts w:asciiTheme="minorHAnsi" w:hAnsiTheme="minorHAnsi" w:cstheme="minorHAnsi"/>
          <w:lang w:eastAsia="en-GB"/>
        </w:rPr>
        <w:t>as now been included on page 146</w:t>
      </w:r>
      <w:r w:rsidR="00F47072" w:rsidRPr="006B6163">
        <w:rPr>
          <w:rFonts w:asciiTheme="minorHAnsi" w:hAnsiTheme="minorHAnsi" w:cstheme="minorHAnsi"/>
          <w:lang w:eastAsia="en-GB"/>
        </w:rPr>
        <w:t xml:space="preserve"> of the current SA</w:t>
      </w:r>
      <w:r>
        <w:rPr>
          <w:rFonts w:asciiTheme="minorHAnsi" w:hAnsiTheme="minorHAnsi" w:cstheme="minorHAnsi"/>
          <w:lang w:eastAsia="en-GB"/>
        </w:rPr>
        <w:t xml:space="preserve"> (although it is referred to there as SP10 (its number at the previous Regulation 18 Pre-Submission stage), not SP12)</w:t>
      </w:r>
      <w:r w:rsidR="00F47072" w:rsidRPr="006B6163">
        <w:rPr>
          <w:rFonts w:asciiTheme="minorHAnsi" w:hAnsiTheme="minorHAnsi" w:cstheme="minorHAnsi"/>
          <w:lang w:eastAsia="en-GB"/>
        </w:rPr>
        <w:t xml:space="preserve"> but contains the puzzling statement that </w:t>
      </w:r>
      <w:r w:rsidR="00F47072" w:rsidRPr="006B6163">
        <w:rPr>
          <w:rFonts w:asciiTheme="minorHAnsi" w:hAnsiTheme="minorHAnsi" w:cstheme="minorHAnsi"/>
          <w:i/>
          <w:lang w:eastAsia="en-GB"/>
        </w:rPr>
        <w:t>‘the policy has no effect on the sustainability objectives of . . . .  reducing carbon emissions and promoting adaption and mitigation to climate change’</w:t>
      </w:r>
      <w:r w:rsidR="00F47072" w:rsidRPr="006B6163">
        <w:rPr>
          <w:rFonts w:asciiTheme="minorHAnsi" w:hAnsiTheme="minorHAnsi" w:cstheme="minorHAnsi"/>
          <w:lang w:eastAsia="en-GB"/>
        </w:rPr>
        <w:t>.</w:t>
      </w:r>
      <w:bookmarkStart w:id="33" w:name="_GoBack"/>
      <w:bookmarkEnd w:id="33"/>
    </w:p>
    <w:p w:rsidR="00F47072" w:rsidRPr="00F47072" w:rsidRDefault="00F47072" w:rsidP="00F47072">
      <w:pPr>
        <w:numPr>
          <w:ilvl w:val="1"/>
          <w:numId w:val="1"/>
        </w:numPr>
        <w:spacing w:after="240" w:line="259" w:lineRule="auto"/>
        <w:ind w:left="0" w:hanging="567"/>
        <w:textAlignment w:val="baseline"/>
        <w:rPr>
          <w:rFonts w:asciiTheme="minorHAnsi" w:eastAsiaTheme="minorHAnsi" w:hAnsiTheme="minorHAnsi" w:cstheme="minorHAnsi"/>
          <w:lang w:eastAsia="en-GB"/>
        </w:rPr>
      </w:pPr>
      <w:r w:rsidRPr="00F47072">
        <w:rPr>
          <w:rFonts w:asciiTheme="minorHAnsi" w:eastAsiaTheme="minorHAnsi" w:hAnsiTheme="minorHAnsi" w:cstheme="minorHAnsi"/>
          <w:lang w:eastAsia="en-GB"/>
        </w:rPr>
        <w:t>Our contention is that, until all development becomes provably zero carbon then any development will make the problem worse, not better.  To comply with policy SP3 Climate Change, the Council should therefore seek to keep econom</w:t>
      </w:r>
      <w:r w:rsidR="001B224C">
        <w:rPr>
          <w:rFonts w:asciiTheme="minorHAnsi" w:eastAsiaTheme="minorHAnsi" w:hAnsiTheme="minorHAnsi" w:cstheme="minorHAnsi"/>
          <w:lang w:eastAsia="en-GB"/>
        </w:rPr>
        <w:t xml:space="preserve">ic development to minimal, optimal levels, not to </w:t>
      </w:r>
      <w:r w:rsidR="007C38B4">
        <w:rPr>
          <w:rFonts w:asciiTheme="minorHAnsi" w:eastAsiaTheme="minorHAnsi" w:hAnsiTheme="minorHAnsi" w:cstheme="minorHAnsi"/>
          <w:lang w:eastAsia="en-GB"/>
        </w:rPr>
        <w:t>“</w:t>
      </w:r>
      <w:r w:rsidR="007C38B4" w:rsidRPr="001B224C">
        <w:rPr>
          <w:rFonts w:asciiTheme="minorHAnsi" w:eastAsiaTheme="minorHAnsi" w:hAnsiTheme="minorHAnsi" w:cstheme="minorHAnsi"/>
          <w:i/>
          <w:lang w:eastAsia="en-GB"/>
        </w:rPr>
        <w:t>strive to maximise</w:t>
      </w:r>
      <w:r w:rsidR="007C38B4">
        <w:rPr>
          <w:rFonts w:asciiTheme="minorHAnsi" w:eastAsiaTheme="minorHAnsi" w:hAnsiTheme="minorHAnsi" w:cstheme="minorHAnsi"/>
          <w:i/>
          <w:lang w:eastAsia="en-GB"/>
        </w:rPr>
        <w:t>”</w:t>
      </w:r>
      <w:r w:rsidR="001B224C">
        <w:rPr>
          <w:rFonts w:asciiTheme="minorHAnsi" w:eastAsiaTheme="minorHAnsi" w:hAnsiTheme="minorHAnsi" w:cstheme="minorHAnsi"/>
          <w:lang w:eastAsia="en-GB"/>
        </w:rPr>
        <w:t xml:space="preserve"> </w:t>
      </w:r>
      <w:r w:rsidR="007C38B4">
        <w:rPr>
          <w:rFonts w:asciiTheme="minorHAnsi" w:eastAsiaTheme="minorHAnsi" w:hAnsiTheme="minorHAnsi" w:cstheme="minorHAnsi"/>
          <w:lang w:eastAsia="en-GB"/>
        </w:rPr>
        <w:t>things</w:t>
      </w:r>
      <w:r w:rsidRPr="00F47072">
        <w:rPr>
          <w:rFonts w:asciiTheme="minorHAnsi" w:eastAsiaTheme="minorHAnsi" w:hAnsiTheme="minorHAnsi" w:cstheme="minorHAnsi"/>
          <w:lang w:eastAsia="en-GB"/>
        </w:rPr>
        <w:t>.</w:t>
      </w:r>
    </w:p>
    <w:p w:rsidR="00F47072" w:rsidRPr="00F47072" w:rsidRDefault="00F47072" w:rsidP="00F47072">
      <w:pPr>
        <w:numPr>
          <w:ilvl w:val="1"/>
          <w:numId w:val="1"/>
        </w:numPr>
        <w:spacing w:after="240" w:line="259" w:lineRule="auto"/>
        <w:ind w:left="0" w:hanging="567"/>
        <w:textAlignment w:val="baseline"/>
        <w:rPr>
          <w:rFonts w:asciiTheme="minorHAnsi" w:eastAsiaTheme="minorHAnsi" w:hAnsiTheme="minorHAnsi" w:cstheme="minorHAnsi"/>
          <w:lang w:eastAsia="en-GB"/>
        </w:rPr>
      </w:pPr>
      <w:r w:rsidRPr="00F47072">
        <w:rPr>
          <w:rFonts w:asciiTheme="minorHAnsi" w:eastAsiaTheme="minorHAnsi" w:hAnsiTheme="minorHAnsi" w:cstheme="minorHAnsi"/>
          <w:lang w:eastAsia="en-GB"/>
        </w:rPr>
        <w:t xml:space="preserve">This desire to </w:t>
      </w:r>
      <w:r w:rsidRPr="00F47072">
        <w:rPr>
          <w:rFonts w:asciiTheme="minorHAnsi" w:eastAsiaTheme="minorHAnsi" w:hAnsiTheme="minorHAnsi" w:cstheme="minorHAnsi"/>
          <w:i/>
          <w:lang w:eastAsia="en-GB"/>
        </w:rPr>
        <w:t>‘be the best’</w:t>
      </w:r>
      <w:r w:rsidRPr="00F47072">
        <w:rPr>
          <w:rFonts w:asciiTheme="minorHAnsi" w:eastAsiaTheme="minorHAnsi" w:hAnsiTheme="minorHAnsi" w:cstheme="minorHAnsi"/>
          <w:lang w:eastAsia="en-GB"/>
        </w:rPr>
        <w:t xml:space="preserve"> and to </w:t>
      </w:r>
      <w:r w:rsidRPr="00F47072">
        <w:rPr>
          <w:rFonts w:asciiTheme="minorHAnsi" w:eastAsiaTheme="minorHAnsi" w:hAnsiTheme="minorHAnsi" w:cstheme="minorHAnsi"/>
          <w:i/>
          <w:lang w:eastAsia="en-GB"/>
        </w:rPr>
        <w:t>‘maximise our economic potential’</w:t>
      </w:r>
      <w:r w:rsidRPr="00F47072">
        <w:rPr>
          <w:rFonts w:asciiTheme="minorHAnsi" w:eastAsiaTheme="minorHAnsi" w:hAnsiTheme="minorHAnsi" w:cstheme="minorHAnsi"/>
          <w:lang w:eastAsia="en-GB"/>
        </w:rPr>
        <w:t xml:space="preserve"> is precisely the sort of thinking that needs to be got away from if climate change objectives are to be met. </w:t>
      </w:r>
    </w:p>
    <w:p w:rsidR="00F47072" w:rsidRPr="007C38B4" w:rsidRDefault="00F47072" w:rsidP="00F47072">
      <w:pPr>
        <w:numPr>
          <w:ilvl w:val="1"/>
          <w:numId w:val="1"/>
        </w:numPr>
        <w:spacing w:after="240" w:line="259" w:lineRule="auto"/>
        <w:ind w:left="0" w:hanging="567"/>
        <w:textAlignment w:val="baseline"/>
        <w:rPr>
          <w:rFonts w:asciiTheme="minorHAnsi" w:eastAsiaTheme="minorHAnsi" w:hAnsiTheme="minorHAnsi" w:cstheme="minorHAnsi"/>
          <w:lang w:eastAsia="en-GB"/>
        </w:rPr>
      </w:pPr>
      <w:r w:rsidRPr="00F47072">
        <w:rPr>
          <w:rFonts w:asciiTheme="minorHAnsi" w:eastAsiaTheme="minorHAnsi" w:hAnsiTheme="minorHAnsi" w:cstheme="minorHAnsi"/>
          <w:szCs w:val="22"/>
          <w:lang w:eastAsia="en-GB"/>
        </w:rPr>
        <w:lastRenderedPageBreak/>
        <w:t>The desire to be the best seems a worthy aim, but it is simply fostering competition with other neighbouring local authorities, and Shropshire is unlikely to become a better place to invest than say the West Midlands conurbation.  At the moment it is well down in the ‘league tables’ of economic indicators for counties, and is likely to remain so because it contains a high proportion of farm land.</w:t>
      </w:r>
    </w:p>
    <w:p w:rsidR="007C38B4" w:rsidRPr="00F47072" w:rsidRDefault="007C38B4" w:rsidP="00F47072">
      <w:pPr>
        <w:numPr>
          <w:ilvl w:val="1"/>
          <w:numId w:val="1"/>
        </w:numPr>
        <w:spacing w:after="240" w:line="259" w:lineRule="auto"/>
        <w:ind w:left="0" w:hanging="567"/>
        <w:textAlignment w:val="baseline"/>
        <w:rPr>
          <w:rFonts w:asciiTheme="minorHAnsi" w:eastAsiaTheme="minorHAnsi" w:hAnsiTheme="minorHAnsi" w:cstheme="minorHAnsi"/>
          <w:lang w:eastAsia="en-GB"/>
        </w:rPr>
      </w:pPr>
      <w:r>
        <w:rPr>
          <w:rFonts w:asciiTheme="minorHAnsi" w:eastAsiaTheme="minorHAnsi" w:hAnsiTheme="minorHAnsi" w:cstheme="minorHAnsi"/>
          <w:szCs w:val="22"/>
          <w:lang w:eastAsia="en-GB"/>
        </w:rPr>
        <w:t>We therefore consider SP12 as drafted to be unsound to the extent that it promotes aims that are not supported by proportionate evidence, particular</w:t>
      </w:r>
      <w:r w:rsidR="008E790C">
        <w:rPr>
          <w:rFonts w:asciiTheme="minorHAnsi" w:eastAsiaTheme="minorHAnsi" w:hAnsiTheme="minorHAnsi" w:cstheme="minorHAnsi"/>
          <w:szCs w:val="22"/>
          <w:lang w:eastAsia="en-GB"/>
        </w:rPr>
        <w:t>ly</w:t>
      </w:r>
      <w:r>
        <w:rPr>
          <w:rFonts w:asciiTheme="minorHAnsi" w:eastAsiaTheme="minorHAnsi" w:hAnsiTheme="minorHAnsi" w:cstheme="minorHAnsi"/>
          <w:szCs w:val="22"/>
          <w:lang w:eastAsia="en-GB"/>
        </w:rPr>
        <w:t xml:space="preserve"> the evidence within climate change considerations.</w:t>
      </w:r>
    </w:p>
    <w:p w:rsidR="00F47072" w:rsidRPr="00490E7C" w:rsidRDefault="00F47072" w:rsidP="00490E7C">
      <w:pPr>
        <w:numPr>
          <w:ilvl w:val="1"/>
          <w:numId w:val="1"/>
        </w:numPr>
        <w:spacing w:after="240" w:line="259" w:lineRule="auto"/>
        <w:ind w:left="0" w:hanging="567"/>
        <w:textAlignment w:val="baseline"/>
        <w:rPr>
          <w:rFonts w:asciiTheme="minorHAnsi" w:eastAsiaTheme="minorHAnsi" w:hAnsiTheme="minorHAnsi" w:cstheme="minorHAnsi"/>
          <w:lang w:eastAsia="en-GB"/>
        </w:rPr>
      </w:pPr>
      <w:r w:rsidRPr="00F47072">
        <w:rPr>
          <w:rFonts w:asciiTheme="minorHAnsi" w:eastAsiaTheme="minorHAnsi" w:hAnsiTheme="minorHAnsi" w:cstheme="minorHAnsi"/>
          <w:lang w:eastAsia="en-GB"/>
        </w:rPr>
        <w:t xml:space="preserve">On a more specific point we consider that reference to the Countryside should be removed in paragraph 3.e.  For simplicity, the management of development in the countryside should be </w:t>
      </w:r>
      <w:r w:rsidR="007C38B4">
        <w:rPr>
          <w:rFonts w:asciiTheme="minorHAnsi" w:eastAsiaTheme="minorHAnsi" w:hAnsiTheme="minorHAnsi" w:cstheme="minorHAnsi"/>
          <w:lang w:eastAsia="en-GB"/>
        </w:rPr>
        <w:t>controlled solely via policy SP10</w:t>
      </w:r>
      <w:r w:rsidRPr="00490E7C">
        <w:rPr>
          <w:rFonts w:ascii="Calibri" w:hAnsi="Calibri" w:cs="Calibri"/>
          <w:color w:val="201F1E"/>
          <w:shd w:val="clear" w:color="auto" w:fill="FFFFFF"/>
        </w:rPr>
        <w:t>.</w:t>
      </w:r>
    </w:p>
    <w:p w:rsidR="00F47072" w:rsidRDefault="00F47072" w:rsidP="00F47072">
      <w:pPr>
        <w:pStyle w:val="Heading2"/>
        <w:keepNext w:val="0"/>
        <w:spacing w:before="240" w:after="120"/>
        <w:rPr>
          <w:rFonts w:asciiTheme="minorHAnsi" w:eastAsiaTheme="minorHAnsi" w:hAnsiTheme="minorHAnsi" w:cstheme="minorHAnsi"/>
          <w:b/>
          <w:i/>
          <w:color w:val="0070C0"/>
          <w:sz w:val="28"/>
          <w:szCs w:val="28"/>
          <w:lang w:eastAsia="en-GB"/>
        </w:rPr>
      </w:pPr>
      <w:bookmarkStart w:id="34" w:name="_Toc65242920"/>
      <w:r w:rsidRPr="005307CB">
        <w:rPr>
          <w:rFonts w:asciiTheme="minorHAnsi" w:eastAsiaTheme="minorHAnsi" w:hAnsiTheme="minorHAnsi" w:cstheme="minorHAnsi"/>
          <w:b/>
          <w:i/>
          <w:color w:val="0070C0"/>
          <w:sz w:val="28"/>
          <w:szCs w:val="28"/>
          <w:lang w:eastAsia="en-GB"/>
        </w:rPr>
        <w:t>Modification(s) considered necessary</w:t>
      </w:r>
      <w:bookmarkEnd w:id="34"/>
    </w:p>
    <w:p w:rsidR="00F47072" w:rsidRPr="00490E7C" w:rsidRDefault="00490E7C" w:rsidP="00F47072">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Calibri" w:hAnsi="Calibri" w:cs="Calibri"/>
          <w:color w:val="201F1E"/>
          <w:szCs w:val="24"/>
          <w:shd w:val="clear" w:color="auto" w:fill="FFFFFF"/>
        </w:rPr>
        <w:t>The text of the Policy and the Explanation should replace references to “the best” and “maximum” with words indicating optimum consistent with the declared climate emergency and the aim of zero carbon by 2030.</w:t>
      </w:r>
    </w:p>
    <w:p w:rsidR="00490E7C" w:rsidRPr="00490E7C" w:rsidRDefault="00490E7C" w:rsidP="00F47072">
      <w:pPr>
        <w:pStyle w:val="ListParagraph"/>
        <w:numPr>
          <w:ilvl w:val="1"/>
          <w:numId w:val="1"/>
        </w:numPr>
        <w:spacing w:before="240" w:line="300" w:lineRule="auto"/>
        <w:ind w:left="0" w:hanging="567"/>
        <w:contextualSpacing w:val="0"/>
        <w:textAlignment w:val="baseline"/>
        <w:rPr>
          <w:rFonts w:asciiTheme="minorHAnsi" w:hAnsiTheme="minorHAnsi" w:cstheme="minorHAnsi"/>
          <w:szCs w:val="24"/>
          <w:lang w:eastAsia="en-GB"/>
        </w:rPr>
      </w:pPr>
      <w:r>
        <w:rPr>
          <w:rFonts w:ascii="Calibri" w:hAnsi="Calibri" w:cs="Calibri"/>
          <w:color w:val="201F1E"/>
          <w:szCs w:val="24"/>
          <w:shd w:val="clear" w:color="auto" w:fill="FFFFFF"/>
        </w:rPr>
        <w:t>In paragraph 3.e of the policy wording, remove the words “and the Countryside”.</w:t>
      </w:r>
    </w:p>
    <w:p w:rsidR="00490E7C" w:rsidRDefault="00490E7C" w:rsidP="00490E7C">
      <w:pPr>
        <w:pStyle w:val="ListParagraph"/>
        <w:spacing w:before="240" w:line="300" w:lineRule="auto"/>
        <w:contextualSpacing w:val="0"/>
        <w:textAlignment w:val="baseline"/>
        <w:rPr>
          <w:rFonts w:ascii="Calibri" w:hAnsi="Calibri" w:cs="Calibri"/>
          <w:color w:val="201F1E"/>
          <w:szCs w:val="24"/>
          <w:shd w:val="clear" w:color="auto" w:fill="FFFFFF"/>
        </w:rPr>
      </w:pPr>
      <w:r>
        <w:rPr>
          <w:rFonts w:ascii="Calibri" w:hAnsi="Calibri" w:cs="Calibri"/>
          <w:color w:val="201F1E"/>
          <w:szCs w:val="24"/>
          <w:shd w:val="clear" w:color="auto" w:fill="FFFFFF"/>
        </w:rPr>
        <w:br w:type="page"/>
      </w:r>
    </w:p>
    <w:p w:rsidR="0096036C" w:rsidRDefault="0096036C" w:rsidP="0096036C">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35" w:name="_Toc65242921"/>
      <w:r>
        <w:rPr>
          <w:rFonts w:asciiTheme="minorHAnsi" w:hAnsiTheme="minorHAnsi" w:cstheme="minorHAnsi"/>
          <w:b/>
          <w:color w:val="0070C0"/>
          <w:sz w:val="36"/>
          <w:szCs w:val="36"/>
          <w:lang w:eastAsia="en-GB"/>
        </w:rPr>
        <w:lastRenderedPageBreak/>
        <w:t>SP15 Whole Estate Plans</w:t>
      </w:r>
      <w:bookmarkEnd w:id="35"/>
    </w:p>
    <w:p w:rsidR="0096036C" w:rsidRPr="00FE2663" w:rsidRDefault="0096036C" w:rsidP="0096036C">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96036C" w:rsidRPr="00FE2663" w:rsidRDefault="0096036C" w:rsidP="0096036C">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96036C" w:rsidRPr="00A17498" w:rsidTr="007673BE">
        <w:trPr>
          <w:trHeight w:val="283"/>
        </w:trPr>
        <w:tc>
          <w:tcPr>
            <w:tcW w:w="567" w:type="dxa"/>
            <w:tcBorders>
              <w:right w:val="single" w:sz="4" w:space="0" w:color="auto"/>
            </w:tcBorders>
            <w:vAlign w:val="center"/>
          </w:tcPr>
          <w:p w:rsidR="0096036C" w:rsidRPr="00A17498" w:rsidRDefault="0096036C" w:rsidP="007673BE">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96036C" w:rsidRPr="001251D0" w:rsidRDefault="0096036C" w:rsidP="007673BE">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96036C" w:rsidRPr="00A17498" w:rsidRDefault="0096036C" w:rsidP="0096036C">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96036C" w:rsidRPr="00A17498" w:rsidTr="007673BE">
        <w:trPr>
          <w:trHeight w:val="283"/>
        </w:trPr>
        <w:tc>
          <w:tcPr>
            <w:tcW w:w="1134" w:type="dxa"/>
            <w:tcBorders>
              <w:top w:val="nil"/>
              <w:left w:val="nil"/>
              <w:bottom w:val="nil"/>
              <w:right w:val="single" w:sz="4" w:space="0" w:color="auto"/>
            </w:tcBorders>
            <w:vAlign w:val="center"/>
          </w:tcPr>
          <w:p w:rsidR="0096036C" w:rsidRPr="00A17498" w:rsidRDefault="0096036C" w:rsidP="007673BE">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96036C" w:rsidRPr="00A17498" w:rsidRDefault="0096036C" w:rsidP="007673BE">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96036C" w:rsidRPr="00A17498" w:rsidRDefault="0096036C" w:rsidP="007673BE">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96036C" w:rsidRPr="00A17498" w:rsidRDefault="0096036C" w:rsidP="007673BE">
            <w:pPr>
              <w:pStyle w:val="BodyText"/>
              <w:spacing w:after="0"/>
              <w:rPr>
                <w:rFonts w:asciiTheme="minorHAnsi" w:hAnsiTheme="minorHAnsi" w:cstheme="minorHAnsi"/>
              </w:rPr>
            </w:pPr>
            <w:r>
              <w:rPr>
                <w:rFonts w:asciiTheme="minorHAnsi" w:hAnsiTheme="minorHAnsi" w:cstheme="minorHAnsi"/>
              </w:rPr>
              <w:t>SP15</w:t>
            </w:r>
          </w:p>
        </w:tc>
      </w:tr>
    </w:tbl>
    <w:p w:rsidR="0096036C" w:rsidRPr="00A17498" w:rsidRDefault="0096036C" w:rsidP="0096036C">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37152A" w:rsidRPr="0037152A" w:rsidTr="007673BE">
        <w:trPr>
          <w:trHeight w:val="283"/>
        </w:trPr>
        <w:tc>
          <w:tcPr>
            <w:tcW w:w="4820" w:type="dxa"/>
            <w:tcBorders>
              <w:top w:val="nil"/>
              <w:left w:val="nil"/>
              <w:bottom w:val="nil"/>
              <w:right w:val="single" w:sz="4" w:space="0" w:color="auto"/>
            </w:tcBorders>
            <w:vAlign w:val="center"/>
          </w:tcPr>
          <w:p w:rsidR="0096036C" w:rsidRPr="0037152A" w:rsidRDefault="0096036C" w:rsidP="007673BE">
            <w:pPr>
              <w:rPr>
                <w:rFonts w:asciiTheme="minorHAnsi" w:eastAsiaTheme="minorHAnsi" w:hAnsiTheme="minorHAnsi" w:cstheme="minorHAnsi"/>
                <w:sz w:val="20"/>
                <w:szCs w:val="20"/>
              </w:rPr>
            </w:pPr>
            <w:r w:rsidRPr="0037152A">
              <w:rPr>
                <w:rFonts w:asciiTheme="minorHAnsi" w:eastAsiaTheme="minorHAnsi" w:hAnsiTheme="minorHAnsi" w:cstheme="minorHAnsi"/>
                <w:sz w:val="20"/>
                <w:szCs w:val="20"/>
              </w:rPr>
              <w:t>B. Sound</w:t>
            </w:r>
          </w:p>
        </w:tc>
        <w:tc>
          <w:tcPr>
            <w:tcW w:w="1275" w:type="dxa"/>
            <w:tcBorders>
              <w:top w:val="single" w:sz="4" w:space="0" w:color="auto"/>
              <w:left w:val="single" w:sz="4" w:space="0" w:color="auto"/>
              <w:bottom w:val="single" w:sz="4" w:space="0" w:color="auto"/>
              <w:right w:val="single" w:sz="4" w:space="0" w:color="auto"/>
            </w:tcBorders>
            <w:vAlign w:val="center"/>
          </w:tcPr>
          <w:p w:rsidR="0096036C" w:rsidRPr="0037152A" w:rsidRDefault="0096036C" w:rsidP="007673BE">
            <w:pPr>
              <w:rPr>
                <w:rFonts w:asciiTheme="minorHAnsi" w:eastAsiaTheme="minorHAnsi" w:hAnsiTheme="minorHAnsi" w:cstheme="minorHAnsi"/>
                <w:sz w:val="20"/>
                <w:szCs w:val="20"/>
              </w:rPr>
            </w:pPr>
            <w:r w:rsidRPr="0037152A">
              <w:rPr>
                <w:rFonts w:asciiTheme="minorHAnsi" w:eastAsiaTheme="minorHAnsi" w:hAnsiTheme="minorHAnsi" w:cstheme="minorHAnsi"/>
                <w:sz w:val="20"/>
                <w:szCs w:val="20"/>
              </w:rPr>
              <w:t>Yes:</w:t>
            </w:r>
          </w:p>
        </w:tc>
        <w:tc>
          <w:tcPr>
            <w:tcW w:w="567" w:type="dxa"/>
            <w:tcBorders>
              <w:top w:val="nil"/>
              <w:left w:val="single" w:sz="4" w:space="0" w:color="auto"/>
              <w:bottom w:val="nil"/>
              <w:right w:val="single" w:sz="4" w:space="0" w:color="auto"/>
            </w:tcBorders>
            <w:vAlign w:val="center"/>
          </w:tcPr>
          <w:p w:rsidR="0096036C" w:rsidRPr="0037152A" w:rsidRDefault="0096036C" w:rsidP="007673BE">
            <w:pPr>
              <w:rPr>
                <w:rFonts w:asciiTheme="minorHAnsi" w:eastAsiaTheme="minorHAnsi" w:hAnsiTheme="minorHAnsi" w:cstheme="minorHAnsi"/>
                <w:sz w:val="20"/>
                <w:szCs w:val="20"/>
              </w:rPr>
            </w:pPr>
          </w:p>
        </w:tc>
        <w:tc>
          <w:tcPr>
            <w:tcW w:w="993" w:type="dxa"/>
            <w:tcBorders>
              <w:top w:val="nil"/>
              <w:left w:val="single" w:sz="4" w:space="0" w:color="auto"/>
              <w:bottom w:val="nil"/>
              <w:right w:val="single" w:sz="4" w:space="0" w:color="auto"/>
            </w:tcBorders>
            <w:vAlign w:val="center"/>
          </w:tcPr>
          <w:p w:rsidR="0096036C" w:rsidRPr="0037152A" w:rsidRDefault="0096036C" w:rsidP="007673BE">
            <w:pPr>
              <w:rPr>
                <w:rFonts w:asciiTheme="minorHAnsi" w:eastAsiaTheme="minorHAnsi" w:hAnsiTheme="minorHAnsi" w:cstheme="minorHAnsi"/>
                <w:sz w:val="20"/>
                <w:szCs w:val="20"/>
              </w:rPr>
            </w:pPr>
            <w:r w:rsidRPr="0037152A">
              <w:rPr>
                <w:rFonts w:asciiTheme="minorHAnsi" w:eastAsiaTheme="minorHAnsi" w:hAnsiTheme="minorHAnsi" w:cstheme="minorHAnsi"/>
                <w:sz w:val="20"/>
                <w:szCs w:val="20"/>
              </w:rPr>
              <w:t>No:</w:t>
            </w:r>
          </w:p>
        </w:tc>
        <w:tc>
          <w:tcPr>
            <w:tcW w:w="567" w:type="dxa"/>
            <w:tcBorders>
              <w:left w:val="single" w:sz="4" w:space="0" w:color="auto"/>
            </w:tcBorders>
            <w:vAlign w:val="center"/>
          </w:tcPr>
          <w:p w:rsidR="0096036C" w:rsidRPr="0037152A" w:rsidRDefault="0096036C" w:rsidP="007673BE">
            <w:pPr>
              <w:pStyle w:val="ListParagraph"/>
              <w:spacing w:after="0"/>
              <w:contextualSpacing w:val="0"/>
              <w:rPr>
                <w:rFonts w:asciiTheme="minorHAnsi" w:hAnsiTheme="minorHAnsi" w:cstheme="minorHAnsi"/>
                <w:b/>
                <w:sz w:val="20"/>
                <w:szCs w:val="20"/>
              </w:rPr>
            </w:pPr>
            <w:r w:rsidRPr="0037152A">
              <w:rPr>
                <w:rFonts w:asciiTheme="minorHAnsi" w:hAnsiTheme="minorHAnsi" w:cstheme="minorHAnsi"/>
                <w:b/>
                <w:sz w:val="20"/>
                <w:szCs w:val="20"/>
              </w:rPr>
              <w:t>√</w:t>
            </w:r>
          </w:p>
        </w:tc>
      </w:tr>
    </w:tbl>
    <w:p w:rsidR="0096036C" w:rsidRPr="005307CB" w:rsidRDefault="0096036C" w:rsidP="0096036C">
      <w:pPr>
        <w:pStyle w:val="Heading2"/>
        <w:spacing w:before="240" w:after="120"/>
        <w:rPr>
          <w:rFonts w:asciiTheme="minorHAnsi" w:eastAsiaTheme="minorHAnsi" w:hAnsiTheme="minorHAnsi" w:cstheme="minorHAnsi"/>
          <w:b/>
          <w:i/>
          <w:color w:val="0070C0"/>
          <w:sz w:val="28"/>
          <w:szCs w:val="28"/>
          <w:lang w:eastAsia="en-GB"/>
        </w:rPr>
      </w:pPr>
      <w:bookmarkStart w:id="36" w:name="_Toc65242922"/>
      <w:r w:rsidRPr="005307CB">
        <w:rPr>
          <w:rFonts w:asciiTheme="minorHAnsi" w:eastAsiaTheme="minorHAnsi" w:hAnsiTheme="minorHAnsi" w:cstheme="minorHAnsi"/>
          <w:b/>
          <w:i/>
          <w:color w:val="0070C0"/>
          <w:sz w:val="28"/>
          <w:szCs w:val="28"/>
          <w:lang w:eastAsia="en-GB"/>
        </w:rPr>
        <w:t>Details</w:t>
      </w:r>
      <w:bookmarkEnd w:id="36"/>
    </w:p>
    <w:p w:rsidR="00986961" w:rsidRPr="00986961" w:rsidRDefault="00986961" w:rsidP="00986961">
      <w:pPr>
        <w:pStyle w:val="ListParagraph"/>
        <w:numPr>
          <w:ilvl w:val="1"/>
          <w:numId w:val="1"/>
        </w:numPr>
        <w:spacing w:before="240" w:after="240"/>
        <w:ind w:left="0"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Paragraph 3.151 refers to</w:t>
      </w:r>
      <w:r w:rsidRPr="00986961">
        <w:rPr>
          <w:rFonts w:asciiTheme="minorHAnsi" w:eastAsia="Arial" w:hAnsiTheme="minorHAnsi" w:cstheme="minorHAnsi"/>
          <w:color w:val="000000" w:themeColor="text1"/>
          <w:w w:val="105"/>
          <w:szCs w:val="24"/>
          <w:lang w:val="en-US"/>
        </w:rPr>
        <w:t xml:space="preserve"> the central principle of ensuring sustainable land management.</w:t>
      </w:r>
      <w:r>
        <w:rPr>
          <w:rFonts w:asciiTheme="minorHAnsi" w:eastAsia="Arial" w:hAnsiTheme="minorHAnsi" w:cstheme="minorHAnsi"/>
          <w:color w:val="000000" w:themeColor="text1"/>
          <w:w w:val="105"/>
          <w:szCs w:val="24"/>
          <w:lang w:val="en-US"/>
        </w:rPr>
        <w:t xml:space="preserve">  A</w:t>
      </w:r>
      <w:r w:rsidRPr="00986961">
        <w:rPr>
          <w:rFonts w:asciiTheme="minorHAnsi" w:hAnsiTheme="minorHAnsi" w:cstheme="minorHAnsi"/>
          <w:lang w:eastAsia="en-GB"/>
        </w:rPr>
        <w:t xml:space="preserve">s we </w:t>
      </w:r>
      <w:r>
        <w:rPr>
          <w:rFonts w:asciiTheme="minorHAnsi" w:hAnsiTheme="minorHAnsi" w:cstheme="minorHAnsi"/>
          <w:lang w:eastAsia="en-GB"/>
        </w:rPr>
        <w:t xml:space="preserve">have </w:t>
      </w:r>
      <w:r w:rsidRPr="00986961">
        <w:rPr>
          <w:rFonts w:asciiTheme="minorHAnsi" w:hAnsiTheme="minorHAnsi" w:cstheme="minorHAnsi"/>
          <w:lang w:eastAsia="en-GB"/>
        </w:rPr>
        <w:t>emphasise</w:t>
      </w:r>
      <w:r>
        <w:rPr>
          <w:rFonts w:asciiTheme="minorHAnsi" w:hAnsiTheme="minorHAnsi" w:cstheme="minorHAnsi"/>
          <w:lang w:eastAsia="en-GB"/>
        </w:rPr>
        <w:t>d in earlier parts of this response</w:t>
      </w:r>
      <w:r w:rsidRPr="00986961">
        <w:rPr>
          <w:rFonts w:asciiTheme="minorHAnsi" w:hAnsiTheme="minorHAnsi" w:cstheme="minorHAnsi"/>
          <w:lang w:eastAsia="en-GB"/>
        </w:rPr>
        <w:t xml:space="preserve">, the overriding concern of current policy for land use should be to mitigate against the effects of both the climate emergency and the ecological emergency.  However, that should be achieved by a Whole </w:t>
      </w:r>
      <w:r w:rsidRPr="00986961">
        <w:rPr>
          <w:rFonts w:asciiTheme="minorHAnsi" w:hAnsiTheme="minorHAnsi" w:cstheme="minorHAnsi"/>
          <w:u w:val="single"/>
          <w:lang w:eastAsia="en-GB"/>
        </w:rPr>
        <w:t>Shropshire</w:t>
      </w:r>
      <w:r w:rsidRPr="00986961">
        <w:rPr>
          <w:rFonts w:asciiTheme="minorHAnsi" w:hAnsiTheme="minorHAnsi" w:cstheme="minorHAnsi"/>
          <w:lang w:eastAsia="en-GB"/>
        </w:rPr>
        <w:t xml:space="preserve"> Plan (which should be this entire Draft Shropshire Local Plan) not by separate piecemeal Whole </w:t>
      </w:r>
      <w:r w:rsidRPr="00986961">
        <w:rPr>
          <w:rFonts w:asciiTheme="minorHAnsi" w:hAnsiTheme="minorHAnsi" w:cstheme="minorHAnsi"/>
          <w:u w:val="single"/>
          <w:lang w:eastAsia="en-GB"/>
        </w:rPr>
        <w:t>Estate</w:t>
      </w:r>
      <w:r w:rsidRPr="00986961">
        <w:rPr>
          <w:rFonts w:asciiTheme="minorHAnsi" w:hAnsiTheme="minorHAnsi" w:cstheme="minorHAnsi"/>
          <w:lang w:eastAsia="en-GB"/>
        </w:rPr>
        <w:t xml:space="preserve"> Plans.</w:t>
      </w:r>
    </w:p>
    <w:p w:rsidR="00C42F00" w:rsidRDefault="00C42F00" w:rsidP="00C42F00">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If, as is stated at paragraph 3.152, many Estates are engaged in the preparation of Whole Estate plans, then it would have been open to them have presented those plans for consideration as part of the current process. </w:t>
      </w:r>
    </w:p>
    <w:p w:rsidR="00622C01" w:rsidRDefault="00622C01" w:rsidP="00C42F00">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It is always open to Estates, as it is to any developer, to put in planning applications to be tested against the policies in the Local Plan.</w:t>
      </w:r>
    </w:p>
    <w:p w:rsidR="00986961" w:rsidRDefault="00986961" w:rsidP="00986961">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proposed policy SP15 </w:t>
      </w:r>
      <w:r w:rsidR="00C42F00">
        <w:rPr>
          <w:rFonts w:asciiTheme="minorHAnsi" w:hAnsiTheme="minorHAnsi" w:cstheme="minorHAnsi"/>
          <w:lang w:eastAsia="en-GB"/>
        </w:rPr>
        <w:t xml:space="preserve">does not offer any certainty as to what constitutes </w:t>
      </w:r>
      <w:r w:rsidR="00622C01">
        <w:rPr>
          <w:rFonts w:asciiTheme="minorHAnsi" w:hAnsiTheme="minorHAnsi" w:cstheme="minorHAnsi"/>
          <w:lang w:eastAsia="en-GB"/>
        </w:rPr>
        <w:t xml:space="preserve">(1) </w:t>
      </w:r>
      <w:r w:rsidR="00C42F00">
        <w:rPr>
          <w:rFonts w:asciiTheme="minorHAnsi" w:hAnsiTheme="minorHAnsi" w:cstheme="minorHAnsi"/>
          <w:lang w:eastAsia="en-GB"/>
        </w:rPr>
        <w:t>an “</w:t>
      </w:r>
      <w:r w:rsidR="00622C01">
        <w:rPr>
          <w:rFonts w:asciiTheme="minorHAnsi" w:hAnsiTheme="minorHAnsi" w:cstheme="minorHAnsi"/>
          <w:lang w:eastAsia="en-GB"/>
        </w:rPr>
        <w:t>Estate” or (2) “meaningful consultation”</w:t>
      </w:r>
      <w:r>
        <w:rPr>
          <w:rFonts w:asciiTheme="minorHAnsi" w:hAnsiTheme="minorHAnsi" w:cstheme="minorHAnsi"/>
          <w:lang w:eastAsia="en-GB"/>
        </w:rPr>
        <w:t>.</w:t>
      </w:r>
      <w:r w:rsidR="00622C01">
        <w:rPr>
          <w:rFonts w:asciiTheme="minorHAnsi" w:hAnsiTheme="minorHAnsi" w:cstheme="minorHAnsi"/>
          <w:lang w:eastAsia="en-GB"/>
        </w:rPr>
        <w:t xml:space="preserve">  </w:t>
      </w:r>
    </w:p>
    <w:p w:rsidR="00986961" w:rsidRDefault="00986961" w:rsidP="00986961">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The Council normally only adopts or endorses as a material consideration documents such as Neighbourhood Plans, which cover a substantial area and which have been subject to statutory consultation.</w:t>
      </w:r>
    </w:p>
    <w:p w:rsidR="0096036C" w:rsidRPr="00986961" w:rsidRDefault="00986961" w:rsidP="00986961">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On the basis of the above points, this policy seems to us </w:t>
      </w:r>
      <w:r w:rsidR="009F7B80">
        <w:rPr>
          <w:rFonts w:asciiTheme="minorHAnsi" w:hAnsiTheme="minorHAnsi" w:cstheme="minorHAnsi"/>
          <w:lang w:eastAsia="en-GB"/>
        </w:rPr>
        <w:t xml:space="preserve">not to be justified by reference to other parts of the plan, and is superfluous. It </w:t>
      </w:r>
      <w:r>
        <w:rPr>
          <w:rFonts w:asciiTheme="minorHAnsi" w:hAnsiTheme="minorHAnsi" w:cstheme="minorHAnsi"/>
          <w:lang w:eastAsia="en-GB"/>
        </w:rPr>
        <w:t>would be better omitted.</w:t>
      </w:r>
    </w:p>
    <w:p w:rsidR="0096036C" w:rsidRPr="00635474" w:rsidRDefault="0096036C" w:rsidP="0096036C">
      <w:pPr>
        <w:pStyle w:val="Heading2"/>
        <w:keepNext w:val="0"/>
        <w:spacing w:before="240" w:after="120"/>
        <w:rPr>
          <w:rFonts w:asciiTheme="minorHAnsi" w:eastAsiaTheme="minorHAnsi" w:hAnsiTheme="minorHAnsi" w:cstheme="minorHAnsi"/>
          <w:b/>
          <w:i/>
          <w:color w:val="0070C0"/>
          <w:sz w:val="28"/>
          <w:szCs w:val="28"/>
          <w:lang w:eastAsia="en-GB"/>
        </w:rPr>
      </w:pPr>
      <w:bookmarkStart w:id="37" w:name="_Toc65242923"/>
      <w:r w:rsidRPr="005307CB">
        <w:rPr>
          <w:rFonts w:asciiTheme="minorHAnsi" w:eastAsiaTheme="minorHAnsi" w:hAnsiTheme="minorHAnsi" w:cstheme="minorHAnsi"/>
          <w:b/>
          <w:i/>
          <w:color w:val="0070C0"/>
          <w:sz w:val="28"/>
          <w:szCs w:val="28"/>
          <w:lang w:eastAsia="en-GB"/>
        </w:rPr>
        <w:t>Modification(s) considered necessary</w:t>
      </w:r>
      <w:bookmarkEnd w:id="37"/>
    </w:p>
    <w:p w:rsidR="00622C01" w:rsidRDefault="00C42F00" w:rsidP="00622C01">
      <w:pPr>
        <w:pStyle w:val="ListParagraph"/>
        <w:numPr>
          <w:ilvl w:val="1"/>
          <w:numId w:val="1"/>
        </w:numPr>
        <w:spacing w:before="240"/>
        <w:ind w:left="0"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This policy is unnecessary and should be struck out, or else</w:t>
      </w:r>
      <w:r w:rsidR="00622C01">
        <w:rPr>
          <w:rFonts w:asciiTheme="minorHAnsi" w:eastAsia="Arial" w:hAnsiTheme="minorHAnsi" w:cstheme="minorHAnsi"/>
          <w:color w:val="000000" w:themeColor="text1"/>
          <w:w w:val="105"/>
          <w:szCs w:val="24"/>
          <w:lang w:val="en-US"/>
        </w:rPr>
        <w:t>:</w:t>
      </w:r>
    </w:p>
    <w:p w:rsidR="00986961" w:rsidRPr="00C42F00" w:rsidRDefault="00C42F00" w:rsidP="002427CD">
      <w:pPr>
        <w:pStyle w:val="ListParagraph"/>
        <w:numPr>
          <w:ilvl w:val="0"/>
          <w:numId w:val="20"/>
        </w:numPr>
        <w:spacing w:before="120"/>
        <w:ind w:left="567"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 xml:space="preserve">the present wording of its clause 1c </w:t>
      </w:r>
      <w:r w:rsidRPr="00622C01">
        <w:rPr>
          <w:rFonts w:asciiTheme="minorHAnsi" w:eastAsia="Arial" w:hAnsiTheme="minorHAnsi" w:cstheme="minorHAnsi"/>
          <w:i/>
          <w:color w:val="000000" w:themeColor="text1"/>
          <w:w w:val="105"/>
          <w:szCs w:val="24"/>
          <w:lang w:val="en-US"/>
        </w:rPr>
        <w:t>“</w:t>
      </w:r>
      <w:r w:rsidRPr="00C42F00">
        <w:rPr>
          <w:rFonts w:asciiTheme="minorHAnsi" w:eastAsia="Arial" w:hAnsiTheme="minorHAnsi" w:cstheme="minorHAnsi"/>
          <w:i/>
          <w:color w:val="000000" w:themeColor="text1"/>
          <w:w w:val="105"/>
          <w:szCs w:val="24"/>
          <w:lang w:val="en-US"/>
        </w:rPr>
        <w:t>It has been subject to meaningful public consultation</w:t>
      </w:r>
      <w:r w:rsidRPr="00622C01">
        <w:rPr>
          <w:rFonts w:asciiTheme="minorHAnsi" w:eastAsia="Arial" w:hAnsiTheme="minorHAnsi" w:cstheme="minorHAnsi"/>
          <w:i/>
          <w:color w:val="000000" w:themeColor="text1"/>
          <w:w w:val="105"/>
          <w:szCs w:val="24"/>
          <w:lang w:val="en-US"/>
        </w:rPr>
        <w:t>”</w:t>
      </w:r>
      <w:r w:rsidRPr="00C42F00">
        <w:rPr>
          <w:rFonts w:asciiTheme="minorHAnsi" w:eastAsia="Arial" w:hAnsiTheme="minorHAnsi" w:cstheme="minorHAnsi"/>
          <w:color w:val="000000" w:themeColor="text1"/>
          <w:w w:val="105"/>
          <w:szCs w:val="24"/>
          <w:lang w:val="en-US"/>
        </w:rPr>
        <w:t xml:space="preserve"> should be replaced with </w:t>
      </w:r>
      <w:r w:rsidR="00986961" w:rsidRPr="00C42F00">
        <w:rPr>
          <w:rFonts w:asciiTheme="minorHAnsi" w:eastAsia="Arial" w:hAnsiTheme="minorHAnsi" w:cstheme="minorHAnsi"/>
          <w:color w:val="000000" w:themeColor="text1"/>
          <w:w w:val="105"/>
          <w:szCs w:val="24"/>
          <w:lang w:val="en-US"/>
        </w:rPr>
        <w:t>the following wording:</w:t>
      </w:r>
    </w:p>
    <w:p w:rsidR="0096036C" w:rsidRDefault="00C42F00" w:rsidP="009F7B80">
      <w:pPr>
        <w:pStyle w:val="ListParagraph"/>
        <w:spacing w:before="120"/>
        <w:ind w:left="567"/>
        <w:contextualSpacing w:val="0"/>
        <w:textAlignment w:val="baseline"/>
        <w:rPr>
          <w:rFonts w:asciiTheme="minorHAnsi" w:hAnsiTheme="minorHAnsi" w:cstheme="minorHAnsi"/>
          <w:i/>
          <w:lang w:eastAsia="en-GB"/>
        </w:rPr>
      </w:pPr>
      <w:r>
        <w:rPr>
          <w:rFonts w:asciiTheme="minorHAnsi" w:hAnsiTheme="minorHAnsi" w:cstheme="minorHAnsi"/>
          <w:i/>
          <w:lang w:eastAsia="en-GB"/>
        </w:rPr>
        <w:t>I</w:t>
      </w:r>
      <w:r w:rsidR="00986961" w:rsidRPr="009D0C53">
        <w:rPr>
          <w:rFonts w:asciiTheme="minorHAnsi" w:hAnsiTheme="minorHAnsi" w:cstheme="minorHAnsi"/>
          <w:i/>
          <w:lang w:eastAsia="en-GB"/>
        </w:rPr>
        <w:t xml:space="preserve">t has been subject to </w:t>
      </w:r>
      <w:r w:rsidR="00986961">
        <w:rPr>
          <w:rFonts w:asciiTheme="minorHAnsi" w:hAnsiTheme="minorHAnsi" w:cstheme="minorHAnsi"/>
          <w:i/>
          <w:lang w:eastAsia="en-GB"/>
        </w:rPr>
        <w:t>the same</w:t>
      </w:r>
      <w:r w:rsidR="00986961" w:rsidRPr="004A38B7">
        <w:rPr>
          <w:rFonts w:asciiTheme="minorHAnsi" w:hAnsiTheme="minorHAnsi" w:cstheme="minorHAnsi"/>
          <w:i/>
          <w:lang w:eastAsia="en-GB"/>
        </w:rPr>
        <w:t xml:space="preserve"> level of</w:t>
      </w:r>
      <w:r w:rsidR="00986961" w:rsidRPr="009D0C53">
        <w:rPr>
          <w:rFonts w:asciiTheme="minorHAnsi" w:hAnsiTheme="minorHAnsi" w:cstheme="minorHAnsi"/>
          <w:i/>
          <w:lang w:eastAsia="en-GB"/>
        </w:rPr>
        <w:t xml:space="preserve"> public consultation</w:t>
      </w:r>
      <w:r w:rsidR="00986961" w:rsidRPr="004A38B7">
        <w:rPr>
          <w:rFonts w:asciiTheme="minorHAnsi" w:hAnsiTheme="minorHAnsi" w:cstheme="minorHAnsi"/>
          <w:i/>
          <w:lang w:eastAsia="en-GB"/>
        </w:rPr>
        <w:t xml:space="preserve"> as is required for Neighbourhood Plans.</w:t>
      </w:r>
    </w:p>
    <w:p w:rsidR="00650C0E" w:rsidRDefault="009F7B80" w:rsidP="002427CD">
      <w:pPr>
        <w:pStyle w:val="ListParagraph"/>
        <w:numPr>
          <w:ilvl w:val="0"/>
          <w:numId w:val="20"/>
        </w:numPr>
        <w:spacing w:before="120" w:after="240"/>
        <w:ind w:left="567" w:hanging="567"/>
        <w:contextualSpacing w:val="0"/>
        <w:textAlignment w:val="baseline"/>
        <w:rPr>
          <w:rFonts w:asciiTheme="minorHAnsi" w:eastAsia="Arial" w:hAnsiTheme="minorHAnsi" w:cstheme="minorHAnsi"/>
          <w:color w:val="000000" w:themeColor="text1"/>
          <w:w w:val="105"/>
          <w:lang w:val="en-US"/>
        </w:rPr>
      </w:pPr>
      <w:r>
        <w:rPr>
          <w:rFonts w:asciiTheme="minorHAnsi" w:eastAsia="Arial" w:hAnsiTheme="minorHAnsi" w:cstheme="minorHAnsi"/>
          <w:color w:val="000000" w:themeColor="text1"/>
          <w:w w:val="105"/>
          <w:lang w:val="en-US"/>
        </w:rPr>
        <w:t>A definition of what minimum size constitutes an Estate should be included in the text.</w:t>
      </w:r>
    </w:p>
    <w:p w:rsidR="00622C01" w:rsidRPr="00650C0E" w:rsidRDefault="00650C0E" w:rsidP="002427CD">
      <w:pPr>
        <w:pStyle w:val="ListParagraph"/>
        <w:numPr>
          <w:ilvl w:val="0"/>
          <w:numId w:val="20"/>
        </w:numPr>
        <w:spacing w:before="120" w:after="240"/>
        <w:ind w:left="567" w:hanging="567"/>
        <w:contextualSpacing w:val="0"/>
        <w:textAlignment w:val="baseline"/>
        <w:rPr>
          <w:rFonts w:asciiTheme="minorHAnsi" w:eastAsia="Arial" w:hAnsiTheme="minorHAnsi" w:cstheme="minorHAnsi"/>
          <w:color w:val="000000" w:themeColor="text1"/>
          <w:w w:val="105"/>
          <w:lang w:val="en-US"/>
        </w:rPr>
      </w:pPr>
      <w:r>
        <w:rPr>
          <w:rFonts w:asciiTheme="minorHAnsi" w:eastAsia="Arial" w:hAnsiTheme="minorHAnsi" w:cstheme="minorHAnsi"/>
          <w:color w:val="000000" w:themeColor="text1"/>
          <w:w w:val="105"/>
          <w:lang w:val="en-US"/>
        </w:rPr>
        <w:br w:type="page"/>
      </w:r>
    </w:p>
    <w:p w:rsidR="00E24B18" w:rsidRPr="00862910" w:rsidRDefault="00E24B18" w:rsidP="009F7B80">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38" w:name="_Toc65242924"/>
      <w:r>
        <w:rPr>
          <w:rFonts w:asciiTheme="minorHAnsi" w:hAnsiTheme="minorHAnsi" w:cstheme="minorHAnsi"/>
          <w:b/>
          <w:color w:val="0070C0"/>
          <w:sz w:val="36"/>
          <w:szCs w:val="36"/>
          <w:lang w:eastAsia="en-GB"/>
        </w:rPr>
        <w:lastRenderedPageBreak/>
        <w:t>DP11 Minimising Carbon Emissions</w:t>
      </w:r>
      <w:bookmarkEnd w:id="38"/>
    </w:p>
    <w:p w:rsidR="00E24B18" w:rsidRPr="00FE2663" w:rsidRDefault="00E24B18" w:rsidP="00E24B18">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E24B18" w:rsidRPr="00FE2663" w:rsidRDefault="00E24B18" w:rsidP="00E24B18">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E24B18" w:rsidRPr="00A17498" w:rsidTr="00CF1499">
        <w:trPr>
          <w:trHeight w:val="283"/>
        </w:trPr>
        <w:tc>
          <w:tcPr>
            <w:tcW w:w="567" w:type="dxa"/>
            <w:tcBorders>
              <w:right w:val="single" w:sz="4" w:space="0" w:color="auto"/>
            </w:tcBorders>
            <w:vAlign w:val="center"/>
          </w:tcPr>
          <w:p w:rsidR="00E24B18" w:rsidRPr="00A17498" w:rsidRDefault="00E24B18" w:rsidP="00CF149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E24B18" w:rsidRPr="001251D0" w:rsidRDefault="00E24B18" w:rsidP="00CF149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E24B18" w:rsidRPr="00A17498" w:rsidRDefault="00E24B18" w:rsidP="00E24B1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E24B18" w:rsidRPr="00A17498" w:rsidTr="00CF1499">
        <w:trPr>
          <w:trHeight w:val="283"/>
        </w:trPr>
        <w:tc>
          <w:tcPr>
            <w:tcW w:w="1134" w:type="dxa"/>
            <w:tcBorders>
              <w:top w:val="nil"/>
              <w:left w:val="nil"/>
              <w:bottom w:val="nil"/>
              <w:right w:val="single" w:sz="4" w:space="0" w:color="auto"/>
            </w:tcBorders>
            <w:vAlign w:val="center"/>
          </w:tcPr>
          <w:p w:rsidR="00E24B18" w:rsidRPr="00A17498" w:rsidRDefault="00E24B18" w:rsidP="00CF149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E24B18" w:rsidRPr="00A17498" w:rsidRDefault="00E24B18" w:rsidP="00CF149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E24B18" w:rsidRPr="00A17498" w:rsidRDefault="00E24B18" w:rsidP="00CF149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E24B18" w:rsidRPr="00A17498" w:rsidRDefault="00E24B18" w:rsidP="00CF1499">
            <w:pPr>
              <w:pStyle w:val="BodyText"/>
              <w:spacing w:after="0"/>
              <w:rPr>
                <w:rFonts w:asciiTheme="minorHAnsi" w:hAnsiTheme="minorHAnsi" w:cstheme="minorHAnsi"/>
              </w:rPr>
            </w:pPr>
            <w:r>
              <w:rPr>
                <w:rFonts w:asciiTheme="minorHAnsi" w:hAnsiTheme="minorHAnsi" w:cstheme="minorHAnsi"/>
              </w:rPr>
              <w:t>DP11</w:t>
            </w:r>
          </w:p>
        </w:tc>
      </w:tr>
    </w:tbl>
    <w:p w:rsidR="00E24B18" w:rsidRPr="00A17498" w:rsidRDefault="00E24B18" w:rsidP="00E24B1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E24B18" w:rsidTr="00CF1499">
        <w:trPr>
          <w:trHeight w:val="283"/>
        </w:trPr>
        <w:tc>
          <w:tcPr>
            <w:tcW w:w="4820" w:type="dxa"/>
            <w:tcBorders>
              <w:top w:val="nil"/>
              <w:left w:val="nil"/>
              <w:bottom w:val="nil"/>
              <w:right w:val="nil"/>
            </w:tcBorders>
            <w:vAlign w:val="center"/>
          </w:tcPr>
          <w:p w:rsidR="00E24B18" w:rsidRPr="00882F68" w:rsidRDefault="00E24B18" w:rsidP="00CF1499">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E24B18" w:rsidRDefault="00E24B18" w:rsidP="00CF1499">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E24B18" w:rsidRPr="00A17498" w:rsidRDefault="00E24B18" w:rsidP="00CF1499">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E24B18" w:rsidRDefault="00E24B18" w:rsidP="00CF1499">
            <w:pPr>
              <w:pStyle w:val="TableParagraph"/>
              <w:spacing w:before="42"/>
              <w:rPr>
                <w:sz w:val="20"/>
              </w:rPr>
            </w:pPr>
            <w:r>
              <w:rPr>
                <w:sz w:val="20"/>
              </w:rPr>
              <w:t>No:</w:t>
            </w:r>
          </w:p>
        </w:tc>
        <w:tc>
          <w:tcPr>
            <w:tcW w:w="567" w:type="dxa"/>
            <w:tcBorders>
              <w:left w:val="single" w:sz="4" w:space="0" w:color="auto"/>
            </w:tcBorders>
            <w:vAlign w:val="center"/>
          </w:tcPr>
          <w:p w:rsidR="00E24B18" w:rsidRPr="00A17498" w:rsidRDefault="00E24B18" w:rsidP="00CF1499">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bl>
    <w:p w:rsidR="00E24B18" w:rsidRPr="005307CB" w:rsidRDefault="00E24B18" w:rsidP="00E24B18">
      <w:pPr>
        <w:pStyle w:val="Heading2"/>
        <w:spacing w:before="240" w:after="120"/>
        <w:rPr>
          <w:rFonts w:asciiTheme="minorHAnsi" w:eastAsiaTheme="minorHAnsi" w:hAnsiTheme="minorHAnsi" w:cstheme="minorHAnsi"/>
          <w:b/>
          <w:i/>
          <w:color w:val="0070C0"/>
          <w:sz w:val="28"/>
          <w:szCs w:val="28"/>
          <w:lang w:eastAsia="en-GB"/>
        </w:rPr>
      </w:pPr>
      <w:bookmarkStart w:id="39" w:name="_Toc65242925"/>
      <w:r w:rsidRPr="005307CB">
        <w:rPr>
          <w:rFonts w:asciiTheme="minorHAnsi" w:eastAsiaTheme="minorHAnsi" w:hAnsiTheme="minorHAnsi" w:cstheme="minorHAnsi"/>
          <w:b/>
          <w:i/>
          <w:color w:val="0070C0"/>
          <w:sz w:val="28"/>
          <w:szCs w:val="28"/>
          <w:lang w:eastAsia="en-GB"/>
        </w:rPr>
        <w:t>Details</w:t>
      </w:r>
      <w:bookmarkEnd w:id="39"/>
    </w:p>
    <w:p w:rsidR="00E24B18" w:rsidRDefault="00E24B18" w:rsidP="00E24B1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general aim of this policy is supported, but it does not go far enough.  </w:t>
      </w:r>
      <w:r w:rsidR="00490E7C">
        <w:rPr>
          <w:rFonts w:asciiTheme="minorHAnsi" w:hAnsiTheme="minorHAnsi" w:cstheme="minorHAnsi"/>
          <w:lang w:eastAsia="en-GB"/>
        </w:rPr>
        <w:t xml:space="preserve">If Shropshire is to achieve </w:t>
      </w:r>
      <w:r>
        <w:rPr>
          <w:rFonts w:asciiTheme="minorHAnsi" w:hAnsiTheme="minorHAnsi" w:cstheme="minorHAnsi"/>
          <w:lang w:eastAsia="en-GB"/>
        </w:rPr>
        <w:t>zero carbon by 2030, which is its stated aim, or even by 2050, which is the national policy, it must begin now to require new building to be zero carbon.</w:t>
      </w:r>
    </w:p>
    <w:p w:rsidR="00E24B18" w:rsidRPr="00142026" w:rsidRDefault="00E24B18" w:rsidP="00E24B18">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szCs w:val="24"/>
          <w:lang w:eastAsia="en-GB"/>
        </w:rPr>
      </w:pPr>
      <w:r w:rsidRPr="00142026">
        <w:rPr>
          <w:rFonts w:asciiTheme="minorHAnsi" w:eastAsia="Arial" w:hAnsiTheme="minorHAnsi" w:cstheme="minorHAnsi"/>
          <w:color w:val="000000" w:themeColor="text1"/>
          <w:w w:val="105"/>
          <w:szCs w:val="24"/>
          <w:lang w:val="en-US"/>
        </w:rPr>
        <w:t>The Government response to the Future Homes Standard consultation has now been published</w:t>
      </w:r>
      <w:r w:rsidRPr="00142026">
        <w:rPr>
          <w:rStyle w:val="FootnoteReference"/>
          <w:rFonts w:asciiTheme="minorHAnsi" w:eastAsia="Arial" w:hAnsiTheme="minorHAnsi" w:cstheme="minorHAnsi"/>
          <w:color w:val="000000" w:themeColor="text1"/>
          <w:w w:val="105"/>
          <w:szCs w:val="24"/>
          <w:lang w:val="en-US"/>
        </w:rPr>
        <w:footnoteReference w:id="24"/>
      </w:r>
      <w:r w:rsidRPr="00142026">
        <w:rPr>
          <w:rFonts w:asciiTheme="minorHAnsi" w:eastAsia="Arial" w:hAnsiTheme="minorHAnsi" w:cstheme="minorHAnsi"/>
          <w:color w:val="000000" w:themeColor="text1"/>
          <w:w w:val="105"/>
          <w:szCs w:val="24"/>
          <w:lang w:val="en-US"/>
        </w:rPr>
        <w:t>, confirming the government's resolve to tighten up Building Regulations as follows:</w:t>
      </w:r>
    </w:p>
    <w:p w:rsidR="00E24B18" w:rsidRPr="00142026" w:rsidRDefault="00E24B18" w:rsidP="002427CD">
      <w:pPr>
        <w:pStyle w:val="ListParagraph"/>
        <w:widowControl w:val="0"/>
        <w:numPr>
          <w:ilvl w:val="0"/>
          <w:numId w:val="15"/>
        </w:numPr>
        <w:autoSpaceDE w:val="0"/>
        <w:autoSpaceDN w:val="0"/>
        <w:ind w:left="567" w:hanging="567"/>
        <w:contextualSpacing w:val="0"/>
        <w:rPr>
          <w:rFonts w:asciiTheme="minorHAnsi" w:eastAsia="Arial" w:hAnsiTheme="minorHAnsi" w:cstheme="minorHAnsi"/>
          <w:color w:val="000000" w:themeColor="text1"/>
          <w:szCs w:val="24"/>
          <w:lang w:val="en-US"/>
        </w:rPr>
      </w:pPr>
      <w:r w:rsidRPr="00142026">
        <w:rPr>
          <w:rFonts w:asciiTheme="minorHAnsi" w:eastAsia="Arial" w:hAnsiTheme="minorHAnsi" w:cstheme="minorHAnsi"/>
          <w:color w:val="000000" w:themeColor="text1"/>
          <w:w w:val="105"/>
          <w:szCs w:val="24"/>
          <w:lang w:val="en-US"/>
        </w:rPr>
        <w:t>Interim standards requiring a 31% reduc</w:t>
      </w:r>
      <w:r>
        <w:rPr>
          <w:rFonts w:asciiTheme="minorHAnsi" w:eastAsia="Arial" w:hAnsiTheme="minorHAnsi" w:cstheme="minorHAnsi"/>
          <w:color w:val="000000" w:themeColor="text1"/>
          <w:w w:val="105"/>
          <w:szCs w:val="24"/>
          <w:lang w:val="en-US"/>
        </w:rPr>
        <w:t>tion in carbon emissions above Building R</w:t>
      </w:r>
      <w:r w:rsidRPr="00142026">
        <w:rPr>
          <w:rFonts w:asciiTheme="minorHAnsi" w:eastAsia="Arial" w:hAnsiTheme="minorHAnsi" w:cstheme="minorHAnsi"/>
          <w:color w:val="000000" w:themeColor="text1"/>
          <w:w w:val="105"/>
          <w:szCs w:val="24"/>
          <w:lang w:val="en-US"/>
        </w:rPr>
        <w:t>egulations from</w:t>
      </w:r>
      <w:r w:rsidRPr="00142026">
        <w:rPr>
          <w:rFonts w:asciiTheme="minorHAnsi" w:eastAsia="Arial" w:hAnsiTheme="minorHAnsi" w:cstheme="minorHAnsi"/>
          <w:color w:val="000000" w:themeColor="text1"/>
          <w:spacing w:val="9"/>
          <w:w w:val="105"/>
          <w:szCs w:val="24"/>
          <w:lang w:val="en-US"/>
        </w:rPr>
        <w:t xml:space="preserve"> </w:t>
      </w:r>
      <w:r w:rsidRPr="00142026">
        <w:rPr>
          <w:rFonts w:asciiTheme="minorHAnsi" w:eastAsia="Arial" w:hAnsiTheme="minorHAnsi" w:cstheme="minorHAnsi"/>
          <w:color w:val="000000" w:themeColor="text1"/>
          <w:w w:val="105"/>
          <w:szCs w:val="24"/>
          <w:lang w:val="en-US"/>
        </w:rPr>
        <w:t>2021.</w:t>
      </w:r>
    </w:p>
    <w:p w:rsidR="00E24B18" w:rsidRPr="00BC5D2D" w:rsidRDefault="00E24B18" w:rsidP="002427CD">
      <w:pPr>
        <w:pStyle w:val="ListParagraph"/>
        <w:widowControl w:val="0"/>
        <w:numPr>
          <w:ilvl w:val="0"/>
          <w:numId w:val="15"/>
        </w:numPr>
        <w:autoSpaceDE w:val="0"/>
        <w:autoSpaceDN w:val="0"/>
        <w:ind w:left="567" w:hanging="567"/>
        <w:contextualSpacing w:val="0"/>
        <w:rPr>
          <w:rFonts w:asciiTheme="minorHAnsi" w:eastAsia="Arial" w:hAnsiTheme="minorHAnsi" w:cstheme="minorHAnsi"/>
          <w:color w:val="000000" w:themeColor="text1"/>
          <w:w w:val="105"/>
          <w:szCs w:val="24"/>
          <w:lang w:val="en-US"/>
        </w:rPr>
      </w:pPr>
      <w:r w:rsidRPr="00BC5D2D">
        <w:rPr>
          <w:rFonts w:asciiTheme="minorHAnsi" w:eastAsia="Arial" w:hAnsiTheme="minorHAnsi" w:cstheme="minorHAnsi"/>
          <w:color w:val="000000" w:themeColor="text1"/>
          <w:w w:val="105"/>
          <w:szCs w:val="24"/>
          <w:lang w:val="en-US"/>
        </w:rPr>
        <w:t>Reducing carbon emissions from new homes by at least 75% from 2025</w:t>
      </w:r>
      <w:r>
        <w:rPr>
          <w:rFonts w:asciiTheme="minorHAnsi" w:eastAsia="Arial" w:hAnsiTheme="minorHAnsi" w:cstheme="minorHAnsi"/>
          <w:color w:val="000000" w:themeColor="text1"/>
          <w:w w:val="105"/>
          <w:szCs w:val="24"/>
          <w:lang w:val="en-US"/>
        </w:rPr>
        <w:t>.</w:t>
      </w:r>
    </w:p>
    <w:p w:rsidR="00E24B18" w:rsidRPr="00BC5D2D" w:rsidRDefault="00E24B18" w:rsidP="002427CD">
      <w:pPr>
        <w:pStyle w:val="ListParagraph"/>
        <w:widowControl w:val="0"/>
        <w:numPr>
          <w:ilvl w:val="0"/>
          <w:numId w:val="15"/>
        </w:numPr>
        <w:autoSpaceDE w:val="0"/>
        <w:autoSpaceDN w:val="0"/>
        <w:ind w:left="567" w:hanging="567"/>
        <w:contextualSpacing w:val="0"/>
        <w:rPr>
          <w:rFonts w:asciiTheme="minorHAnsi" w:eastAsia="Arial" w:hAnsiTheme="minorHAnsi" w:cstheme="minorHAnsi"/>
          <w:color w:val="000000" w:themeColor="text1"/>
          <w:szCs w:val="24"/>
          <w:lang w:val="en-US"/>
        </w:rPr>
      </w:pPr>
      <w:r w:rsidRPr="00BC5D2D">
        <w:rPr>
          <w:rFonts w:asciiTheme="minorHAnsi" w:eastAsia="Arial" w:hAnsiTheme="minorHAnsi" w:cstheme="minorHAnsi"/>
          <w:color w:val="000000" w:themeColor="text1"/>
          <w:w w:val="105"/>
          <w:szCs w:val="24"/>
          <w:lang w:val="en-US"/>
        </w:rPr>
        <w:t>Banning the installation of gas central heating in new homes from</w:t>
      </w:r>
      <w:r w:rsidRPr="00BC5D2D">
        <w:rPr>
          <w:rFonts w:asciiTheme="minorHAnsi" w:eastAsia="Arial" w:hAnsiTheme="minorHAnsi" w:cstheme="minorHAnsi"/>
          <w:color w:val="000000" w:themeColor="text1"/>
          <w:spacing w:val="-1"/>
          <w:w w:val="105"/>
          <w:szCs w:val="24"/>
          <w:lang w:val="en-US"/>
        </w:rPr>
        <w:t xml:space="preserve"> </w:t>
      </w:r>
      <w:r w:rsidRPr="00BC5D2D">
        <w:rPr>
          <w:rFonts w:asciiTheme="minorHAnsi" w:eastAsia="Arial" w:hAnsiTheme="minorHAnsi" w:cstheme="minorHAnsi"/>
          <w:color w:val="000000" w:themeColor="text1"/>
          <w:w w:val="105"/>
          <w:szCs w:val="24"/>
          <w:lang w:val="en-US"/>
        </w:rPr>
        <w:t>2025.</w:t>
      </w:r>
    </w:p>
    <w:p w:rsidR="00E24B18" w:rsidRPr="002C6D5F" w:rsidRDefault="00E24B18" w:rsidP="00E24B18">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sidRPr="00BC5D2D">
        <w:rPr>
          <w:rFonts w:asciiTheme="minorHAnsi" w:eastAsia="Arial" w:hAnsiTheme="minorHAnsi" w:cstheme="minorHAnsi"/>
          <w:color w:val="000000" w:themeColor="text1"/>
          <w:w w:val="105"/>
          <w:szCs w:val="24"/>
          <w:lang w:val="en-US"/>
        </w:rPr>
        <w:t>The interim standards (31% reduction) from 2021 will now act a</w:t>
      </w:r>
      <w:r>
        <w:rPr>
          <w:rFonts w:asciiTheme="minorHAnsi" w:eastAsia="Arial" w:hAnsiTheme="minorHAnsi" w:cstheme="minorHAnsi"/>
          <w:color w:val="000000" w:themeColor="text1"/>
          <w:w w:val="105"/>
          <w:szCs w:val="24"/>
          <w:lang w:val="en-US"/>
        </w:rPr>
        <w:t>s the "regulatory floor" and we woul</w:t>
      </w:r>
      <w:r w:rsidRPr="00BC5D2D">
        <w:rPr>
          <w:rFonts w:asciiTheme="minorHAnsi" w:eastAsia="Arial" w:hAnsiTheme="minorHAnsi" w:cstheme="minorHAnsi"/>
          <w:color w:val="000000" w:themeColor="text1"/>
          <w:w w:val="105"/>
          <w:szCs w:val="24"/>
          <w:lang w:val="en-US"/>
        </w:rPr>
        <w:t xml:space="preserve">d encourage the council to tighten </w:t>
      </w:r>
      <w:r>
        <w:rPr>
          <w:rFonts w:asciiTheme="minorHAnsi" w:eastAsia="Arial" w:hAnsiTheme="minorHAnsi" w:cstheme="minorHAnsi"/>
          <w:color w:val="000000" w:themeColor="text1"/>
          <w:w w:val="105"/>
          <w:szCs w:val="24"/>
          <w:lang w:val="en-US"/>
        </w:rPr>
        <w:t>Policy DP11</w:t>
      </w:r>
      <w:r w:rsidRPr="00BC5D2D">
        <w:rPr>
          <w:rFonts w:asciiTheme="minorHAnsi" w:eastAsia="Arial" w:hAnsiTheme="minorHAnsi" w:cstheme="minorHAnsi"/>
          <w:color w:val="000000" w:themeColor="text1"/>
          <w:w w:val="105"/>
          <w:szCs w:val="24"/>
          <w:lang w:val="en-US"/>
        </w:rPr>
        <w:t xml:space="preserve"> to require an overall 35% on-site carbon reduction, via fabric energy efficiency </w:t>
      </w:r>
      <w:r>
        <w:rPr>
          <w:rFonts w:asciiTheme="minorHAnsi" w:eastAsia="Arial" w:hAnsiTheme="minorHAnsi" w:cstheme="minorHAnsi"/>
          <w:color w:val="000000" w:themeColor="text1"/>
          <w:w w:val="105"/>
          <w:szCs w:val="24"/>
          <w:lang w:val="en-US"/>
        </w:rPr>
        <w:t xml:space="preserve">standards, on-site renewables, </w:t>
      </w:r>
      <w:r w:rsidRPr="00BC5D2D">
        <w:rPr>
          <w:rFonts w:asciiTheme="minorHAnsi" w:eastAsia="Arial" w:hAnsiTheme="minorHAnsi" w:cstheme="minorHAnsi"/>
          <w:color w:val="000000" w:themeColor="text1"/>
          <w:w w:val="105"/>
          <w:szCs w:val="24"/>
          <w:lang w:val="en-US"/>
        </w:rPr>
        <w:t xml:space="preserve">zero/ low carbon </w:t>
      </w:r>
      <w:r>
        <w:rPr>
          <w:rFonts w:asciiTheme="minorHAnsi" w:eastAsia="Arial" w:hAnsiTheme="minorHAnsi" w:cstheme="minorHAnsi"/>
          <w:color w:val="000000" w:themeColor="text1"/>
          <w:w w:val="105"/>
          <w:szCs w:val="24"/>
          <w:lang w:val="en-US"/>
        </w:rPr>
        <w:t xml:space="preserve">heat, with remaining emissions being offset by contributions </w:t>
      </w:r>
      <w:r w:rsidRPr="00BC5D2D">
        <w:rPr>
          <w:rFonts w:asciiTheme="minorHAnsi" w:eastAsia="Arial" w:hAnsiTheme="minorHAnsi" w:cstheme="minorHAnsi"/>
          <w:color w:val="000000" w:themeColor="text1"/>
          <w:w w:val="105"/>
          <w:szCs w:val="24"/>
          <w:lang w:val="en-US"/>
        </w:rPr>
        <w:t>into a carbon offset fund, to pay for off-site c</w:t>
      </w:r>
      <w:r>
        <w:rPr>
          <w:rFonts w:asciiTheme="minorHAnsi" w:eastAsia="Arial" w:hAnsiTheme="minorHAnsi" w:cstheme="minorHAnsi"/>
          <w:color w:val="000000" w:themeColor="text1"/>
          <w:w w:val="105"/>
          <w:szCs w:val="24"/>
          <w:lang w:val="en-US"/>
        </w:rPr>
        <w:t>arbon reduction or sequestrati</w:t>
      </w:r>
      <w:r w:rsidRPr="00BC5D2D">
        <w:rPr>
          <w:rFonts w:asciiTheme="minorHAnsi" w:eastAsia="Arial" w:hAnsiTheme="minorHAnsi" w:cstheme="minorHAnsi"/>
          <w:color w:val="000000" w:themeColor="text1"/>
          <w:w w:val="105"/>
          <w:szCs w:val="24"/>
          <w:lang w:val="en-US"/>
        </w:rPr>
        <w:t xml:space="preserve">on. </w:t>
      </w:r>
      <w:r>
        <w:rPr>
          <w:rFonts w:asciiTheme="minorHAnsi" w:eastAsia="Arial" w:hAnsiTheme="minorHAnsi" w:cstheme="minorHAnsi"/>
          <w:color w:val="000000" w:themeColor="text1"/>
          <w:w w:val="105"/>
          <w:szCs w:val="24"/>
          <w:lang w:val="en-US"/>
        </w:rPr>
        <w:t>The wording</w:t>
      </w:r>
      <w:r w:rsidRPr="00BC5D2D">
        <w:rPr>
          <w:rFonts w:asciiTheme="minorHAnsi" w:eastAsia="Arial" w:hAnsiTheme="minorHAnsi" w:cstheme="minorHAnsi"/>
          <w:color w:val="000000" w:themeColor="text1"/>
          <w:w w:val="105"/>
          <w:szCs w:val="24"/>
          <w:lang w:val="en-US"/>
        </w:rPr>
        <w:t xml:space="preserve"> "strongly encouraging"</w:t>
      </w:r>
      <w:r>
        <w:rPr>
          <w:rFonts w:asciiTheme="minorHAnsi" w:eastAsia="Arial" w:hAnsiTheme="minorHAnsi" w:cstheme="minorHAnsi"/>
          <w:color w:val="000000" w:themeColor="text1"/>
          <w:lang w:val="en-US"/>
        </w:rPr>
        <w:t xml:space="preserve"> </w:t>
      </w:r>
      <w:r w:rsidRPr="00BC5D2D">
        <w:rPr>
          <w:rFonts w:asciiTheme="minorHAnsi" w:eastAsia="Arial" w:hAnsiTheme="minorHAnsi" w:cstheme="minorHAnsi"/>
          <w:color w:val="000000" w:themeColor="text1"/>
          <w:w w:val="105"/>
          <w:szCs w:val="24"/>
          <w:lang w:val="en-US"/>
        </w:rPr>
        <w:t>could be tightened up considerably, along the lines of the London Plan</w:t>
      </w:r>
      <w:r>
        <w:rPr>
          <w:rFonts w:asciiTheme="minorHAnsi" w:eastAsia="Arial" w:hAnsiTheme="minorHAnsi" w:cstheme="minorHAnsi"/>
          <w:color w:val="000000" w:themeColor="text1"/>
          <w:w w:val="105"/>
          <w:szCs w:val="24"/>
          <w:lang w:val="en-US"/>
        </w:rPr>
        <w:t>, which states that</w:t>
      </w:r>
      <w:r w:rsidRPr="00BC5D2D">
        <w:rPr>
          <w:rFonts w:asciiTheme="minorHAnsi" w:eastAsia="Arial" w:hAnsiTheme="minorHAnsi" w:cstheme="minorHAnsi"/>
          <w:color w:val="000000" w:themeColor="text1"/>
          <w:w w:val="105"/>
          <w:szCs w:val="24"/>
          <w:lang w:val="en-US"/>
        </w:rPr>
        <w:t xml:space="preserve"> </w:t>
      </w:r>
      <w:r>
        <w:rPr>
          <w:rFonts w:asciiTheme="minorHAnsi" w:eastAsia="Arial" w:hAnsiTheme="minorHAnsi" w:cstheme="minorHAnsi"/>
          <w:color w:val="000000" w:themeColor="text1"/>
          <w:w w:val="105"/>
          <w:szCs w:val="24"/>
          <w:lang w:val="en-US"/>
        </w:rPr>
        <w:t>"</w:t>
      </w:r>
      <w:r w:rsidRPr="00BC5D2D">
        <w:rPr>
          <w:rFonts w:asciiTheme="minorHAnsi" w:eastAsia="Arial" w:hAnsiTheme="minorHAnsi" w:cstheme="minorHAnsi"/>
          <w:color w:val="000000" w:themeColor="text1"/>
          <w:w w:val="105"/>
          <w:szCs w:val="24"/>
          <w:lang w:val="en-US"/>
        </w:rPr>
        <w:t>major de</w:t>
      </w:r>
      <w:r>
        <w:rPr>
          <w:rFonts w:asciiTheme="minorHAnsi" w:eastAsia="Arial" w:hAnsiTheme="minorHAnsi" w:cstheme="minorHAnsi"/>
          <w:color w:val="000000" w:themeColor="text1"/>
          <w:w w:val="105"/>
          <w:szCs w:val="24"/>
          <w:lang w:val="en-US"/>
        </w:rPr>
        <w:t>velopment should be zero carbon”</w:t>
      </w:r>
      <w:r w:rsidRPr="00BC5D2D">
        <w:rPr>
          <w:rFonts w:asciiTheme="minorHAnsi" w:eastAsia="Arial" w:hAnsiTheme="minorHAnsi" w:cstheme="minorHAnsi"/>
          <w:color w:val="000000" w:themeColor="text1"/>
          <w:w w:val="105"/>
          <w:szCs w:val="24"/>
          <w:lang w:val="en-US"/>
        </w:rPr>
        <w:t>.</w:t>
      </w:r>
    </w:p>
    <w:p w:rsidR="00E24B18" w:rsidRPr="001302C0" w:rsidRDefault="00E24B18" w:rsidP="00E24B18">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w w:val="105"/>
          <w:szCs w:val="24"/>
          <w:lang w:val="en-US"/>
        </w:rPr>
        <w:t>Clause 4, by allowing reference to “open book” accounting and viability, may in practice offer a get-out clause to any and all development.  Ways must be found to make zero carbon building viable.</w:t>
      </w:r>
    </w:p>
    <w:p w:rsidR="00E24B18" w:rsidRPr="00635474" w:rsidRDefault="00E24B18" w:rsidP="00E24B18">
      <w:pPr>
        <w:pStyle w:val="Heading2"/>
        <w:spacing w:before="240" w:after="120"/>
        <w:rPr>
          <w:rFonts w:asciiTheme="minorHAnsi" w:eastAsiaTheme="minorHAnsi" w:hAnsiTheme="minorHAnsi" w:cstheme="minorHAnsi"/>
          <w:b/>
          <w:i/>
          <w:color w:val="0070C0"/>
          <w:sz w:val="28"/>
          <w:szCs w:val="28"/>
          <w:lang w:eastAsia="en-GB"/>
        </w:rPr>
      </w:pPr>
      <w:bookmarkStart w:id="40" w:name="_Toc65242926"/>
      <w:r w:rsidRPr="005307CB">
        <w:rPr>
          <w:rFonts w:asciiTheme="minorHAnsi" w:eastAsiaTheme="minorHAnsi" w:hAnsiTheme="minorHAnsi" w:cstheme="minorHAnsi"/>
          <w:b/>
          <w:i/>
          <w:color w:val="0070C0"/>
          <w:sz w:val="28"/>
          <w:szCs w:val="28"/>
          <w:lang w:eastAsia="en-GB"/>
        </w:rPr>
        <w:t>Modification(s) considered necessary</w:t>
      </w:r>
      <w:bookmarkEnd w:id="40"/>
    </w:p>
    <w:p w:rsidR="00E24B18" w:rsidRDefault="00E24B18" w:rsidP="00E24B18">
      <w:pPr>
        <w:pStyle w:val="ListParagraph"/>
        <w:numPr>
          <w:ilvl w:val="1"/>
          <w:numId w:val="1"/>
        </w:numPr>
        <w:spacing w:before="240" w:line="300" w:lineRule="auto"/>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Clause 1b should be amended to refer to all proposals (not just for 10 or more dwellings) and to refer throughout to the latest Building regulations as above.</w:t>
      </w:r>
    </w:p>
    <w:p w:rsidR="00E24B18" w:rsidRDefault="00E24B18" w:rsidP="00E24B18">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szCs w:val="24"/>
          <w:lang w:val="en-US"/>
        </w:rPr>
        <w:lastRenderedPageBreak/>
        <w:t>Clause 1d; replace the opening words “strongly encouraging” with “ensuring”.</w:t>
      </w:r>
    </w:p>
    <w:p w:rsidR="00E24B18" w:rsidRPr="00E24B18" w:rsidRDefault="00E24B18" w:rsidP="00E24B18">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sidRPr="00E24B18">
        <w:rPr>
          <w:rFonts w:asciiTheme="minorHAnsi" w:eastAsia="Arial" w:hAnsiTheme="minorHAnsi" w:cstheme="minorHAnsi"/>
          <w:color w:val="000000" w:themeColor="text1"/>
          <w:szCs w:val="24"/>
          <w:lang w:val="en-US"/>
        </w:rPr>
        <w:t>Clause 2: strike out the words “</w:t>
      </w:r>
      <w:r w:rsidRPr="00E24B18">
        <w:rPr>
          <w:rFonts w:asciiTheme="minorHAnsi" w:hAnsiTheme="minorHAnsi" w:cstheme="minorHAnsi"/>
          <w:color w:val="000000"/>
          <w:szCs w:val="24"/>
        </w:rPr>
        <w:t>of 1,000m</w:t>
      </w:r>
      <w:r w:rsidRPr="00E24B18">
        <w:rPr>
          <w:rFonts w:asciiTheme="minorHAnsi" w:hAnsiTheme="minorHAnsi" w:cstheme="minorHAnsi"/>
          <w:color w:val="000000"/>
          <w:szCs w:val="24"/>
          <w:vertAlign w:val="superscript"/>
        </w:rPr>
        <w:t>2</w:t>
      </w:r>
      <w:r w:rsidRPr="00E24B18">
        <w:rPr>
          <w:rFonts w:asciiTheme="minorHAnsi" w:hAnsiTheme="minorHAnsi" w:cstheme="minorHAnsi"/>
          <w:color w:val="000000"/>
          <w:szCs w:val="24"/>
        </w:rPr>
        <w:t xml:space="preserve"> or more floorspace or with a gross site area of 1ha or more”</w:t>
      </w:r>
      <w:r>
        <w:rPr>
          <w:rFonts w:asciiTheme="minorHAnsi" w:hAnsiTheme="minorHAnsi" w:cstheme="minorHAnsi"/>
          <w:color w:val="000000"/>
          <w:szCs w:val="24"/>
        </w:rPr>
        <w:t>.</w:t>
      </w:r>
    </w:p>
    <w:p w:rsidR="00E24B18" w:rsidRDefault="00E24B18" w:rsidP="00E24B18">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szCs w:val="24"/>
          <w:lang w:val="en-US"/>
        </w:rPr>
        <w:t>Strike out Clause 4.</w:t>
      </w:r>
    </w:p>
    <w:p w:rsidR="00650C0E" w:rsidRDefault="00650C0E" w:rsidP="00650C0E">
      <w:pPr>
        <w:pStyle w:val="ListParagraph"/>
        <w:spacing w:before="240" w:line="300" w:lineRule="auto"/>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szCs w:val="24"/>
          <w:lang w:val="en-US"/>
        </w:rPr>
        <w:br w:type="page"/>
      </w:r>
    </w:p>
    <w:p w:rsidR="00E24B18" w:rsidRPr="00862910" w:rsidRDefault="00E24B18" w:rsidP="00E24B18">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41" w:name="_Toc65242927"/>
      <w:r>
        <w:rPr>
          <w:rFonts w:asciiTheme="minorHAnsi" w:hAnsiTheme="minorHAnsi" w:cstheme="minorHAnsi"/>
          <w:b/>
          <w:color w:val="0070C0"/>
          <w:sz w:val="36"/>
          <w:szCs w:val="36"/>
          <w:lang w:eastAsia="en-GB"/>
        </w:rPr>
        <w:lastRenderedPageBreak/>
        <w:t>DP23 Conserving and Enhancing the Historic Environment</w:t>
      </w:r>
      <w:bookmarkEnd w:id="41"/>
    </w:p>
    <w:p w:rsidR="00E24B18" w:rsidRPr="00FE2663" w:rsidRDefault="00E24B18" w:rsidP="00E24B18">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E24B18" w:rsidRPr="00FE2663" w:rsidRDefault="00E24B18" w:rsidP="00E24B18">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E24B18" w:rsidRPr="00A17498" w:rsidTr="00CF1499">
        <w:trPr>
          <w:trHeight w:val="283"/>
        </w:trPr>
        <w:tc>
          <w:tcPr>
            <w:tcW w:w="567" w:type="dxa"/>
            <w:tcBorders>
              <w:right w:val="single" w:sz="4" w:space="0" w:color="auto"/>
            </w:tcBorders>
            <w:vAlign w:val="center"/>
          </w:tcPr>
          <w:p w:rsidR="00E24B18" w:rsidRPr="00A17498" w:rsidRDefault="00E24B18" w:rsidP="00CF149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E24B18" w:rsidRPr="001251D0" w:rsidRDefault="00E24B18" w:rsidP="00CF149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E24B18" w:rsidRPr="00A17498" w:rsidRDefault="00E24B18" w:rsidP="00E24B1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E24B18" w:rsidRPr="00A17498" w:rsidTr="00CF1499">
        <w:trPr>
          <w:trHeight w:val="283"/>
        </w:trPr>
        <w:tc>
          <w:tcPr>
            <w:tcW w:w="1134" w:type="dxa"/>
            <w:tcBorders>
              <w:top w:val="nil"/>
              <w:left w:val="nil"/>
              <w:bottom w:val="nil"/>
              <w:right w:val="single" w:sz="4" w:space="0" w:color="auto"/>
            </w:tcBorders>
            <w:vAlign w:val="center"/>
          </w:tcPr>
          <w:p w:rsidR="00E24B18" w:rsidRPr="00A17498" w:rsidRDefault="00E24B18" w:rsidP="00CF149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E24B18" w:rsidRPr="00A17498" w:rsidRDefault="00E24B18" w:rsidP="00CF149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E24B18" w:rsidRPr="00A17498" w:rsidRDefault="00E24B18" w:rsidP="00CF149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E24B18" w:rsidRPr="00A17498" w:rsidRDefault="00E24B18" w:rsidP="00CF1499">
            <w:pPr>
              <w:pStyle w:val="BodyText"/>
              <w:spacing w:after="0"/>
              <w:rPr>
                <w:rFonts w:asciiTheme="minorHAnsi" w:hAnsiTheme="minorHAnsi" w:cstheme="minorHAnsi"/>
              </w:rPr>
            </w:pPr>
            <w:r>
              <w:rPr>
                <w:rFonts w:asciiTheme="minorHAnsi" w:hAnsiTheme="minorHAnsi" w:cstheme="minorHAnsi"/>
              </w:rPr>
              <w:t>DP23</w:t>
            </w:r>
          </w:p>
        </w:tc>
      </w:tr>
    </w:tbl>
    <w:p w:rsidR="00E24B18" w:rsidRPr="00A17498" w:rsidRDefault="00E24B18" w:rsidP="00E24B1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E24B18" w:rsidTr="00CF1499">
        <w:trPr>
          <w:trHeight w:val="283"/>
        </w:trPr>
        <w:tc>
          <w:tcPr>
            <w:tcW w:w="4820" w:type="dxa"/>
            <w:tcBorders>
              <w:top w:val="nil"/>
              <w:left w:val="nil"/>
              <w:bottom w:val="nil"/>
              <w:right w:val="nil"/>
            </w:tcBorders>
            <w:vAlign w:val="center"/>
          </w:tcPr>
          <w:p w:rsidR="00E24B18" w:rsidRPr="00882F68" w:rsidRDefault="00E24B18" w:rsidP="00CF1499">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E24B18" w:rsidRDefault="00E24B18" w:rsidP="00CF1499">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E24B18" w:rsidRPr="00A17498" w:rsidRDefault="00E24B18" w:rsidP="00CF1499">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E24B18" w:rsidRDefault="00E24B18" w:rsidP="00CF1499">
            <w:pPr>
              <w:pStyle w:val="TableParagraph"/>
              <w:spacing w:before="42"/>
              <w:rPr>
                <w:sz w:val="20"/>
              </w:rPr>
            </w:pPr>
            <w:r>
              <w:rPr>
                <w:sz w:val="20"/>
              </w:rPr>
              <w:t>No:</w:t>
            </w:r>
          </w:p>
        </w:tc>
        <w:tc>
          <w:tcPr>
            <w:tcW w:w="567" w:type="dxa"/>
            <w:tcBorders>
              <w:left w:val="single" w:sz="4" w:space="0" w:color="auto"/>
            </w:tcBorders>
            <w:vAlign w:val="center"/>
          </w:tcPr>
          <w:p w:rsidR="00E24B18" w:rsidRPr="00A17498" w:rsidRDefault="00E24B18" w:rsidP="00CF1499">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bl>
    <w:p w:rsidR="00E24B18" w:rsidRPr="005307CB" w:rsidRDefault="00E24B18" w:rsidP="00E24B18">
      <w:pPr>
        <w:pStyle w:val="Heading2"/>
        <w:spacing w:before="240" w:after="120"/>
        <w:rPr>
          <w:rFonts w:asciiTheme="minorHAnsi" w:eastAsiaTheme="minorHAnsi" w:hAnsiTheme="minorHAnsi" w:cstheme="minorHAnsi"/>
          <w:b/>
          <w:i/>
          <w:color w:val="0070C0"/>
          <w:sz w:val="28"/>
          <w:szCs w:val="28"/>
          <w:lang w:eastAsia="en-GB"/>
        </w:rPr>
      </w:pPr>
      <w:bookmarkStart w:id="42" w:name="_Toc65242928"/>
      <w:r w:rsidRPr="005307CB">
        <w:rPr>
          <w:rFonts w:asciiTheme="minorHAnsi" w:eastAsiaTheme="minorHAnsi" w:hAnsiTheme="minorHAnsi" w:cstheme="minorHAnsi"/>
          <w:b/>
          <w:i/>
          <w:color w:val="0070C0"/>
          <w:sz w:val="28"/>
          <w:szCs w:val="28"/>
          <w:lang w:eastAsia="en-GB"/>
        </w:rPr>
        <w:t>Details</w:t>
      </w:r>
      <w:bookmarkEnd w:id="42"/>
    </w:p>
    <w:p w:rsidR="00E24B18" w:rsidRPr="003C720D" w:rsidRDefault="00E24B18" w:rsidP="003C720D">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w w:val="105"/>
          <w:szCs w:val="24"/>
          <w:lang w:val="en-US"/>
        </w:rPr>
        <w:t>Clause 1</w:t>
      </w:r>
      <w:r w:rsidRPr="00E24B18">
        <w:rPr>
          <w:rFonts w:asciiTheme="minorHAnsi" w:eastAsia="Arial" w:hAnsiTheme="minorHAnsi" w:cstheme="minorHAnsi"/>
          <w:color w:val="000000" w:themeColor="text1"/>
          <w:w w:val="105"/>
          <w:szCs w:val="24"/>
          <w:lang w:val="en-US"/>
        </w:rPr>
        <w:t xml:space="preserve">(g) </w:t>
      </w:r>
      <w:r>
        <w:rPr>
          <w:rFonts w:asciiTheme="minorHAnsi" w:eastAsia="Arial" w:hAnsiTheme="minorHAnsi" w:cstheme="minorHAnsi"/>
          <w:color w:val="000000" w:themeColor="text1"/>
          <w:w w:val="105"/>
          <w:szCs w:val="24"/>
          <w:lang w:val="en-US"/>
        </w:rPr>
        <w:t xml:space="preserve">of </w:t>
      </w:r>
      <w:r w:rsidRPr="00E24B18">
        <w:rPr>
          <w:rFonts w:asciiTheme="minorHAnsi" w:eastAsia="Arial" w:hAnsiTheme="minorHAnsi" w:cstheme="minorHAnsi"/>
          <w:color w:val="000000" w:themeColor="text1"/>
          <w:w w:val="105"/>
          <w:szCs w:val="24"/>
          <w:lang w:val="en-US"/>
        </w:rPr>
        <w:t>Policy SP3 promotes fabric energy efficiency retrofits of existing buildings yet no support is given for the responsible energy retrofitting of historic and listed buildings within policy DP23.</w:t>
      </w:r>
    </w:p>
    <w:p w:rsidR="003C720D" w:rsidRPr="003C720D" w:rsidRDefault="00E24B18" w:rsidP="003C720D">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szCs w:val="24"/>
          <w:lang w:val="en-US"/>
        </w:rPr>
      </w:pPr>
      <w:r>
        <w:rPr>
          <w:rFonts w:asciiTheme="minorHAnsi" w:eastAsia="Arial" w:hAnsiTheme="minorHAnsi" w:cstheme="minorHAnsi"/>
          <w:color w:val="000000" w:themeColor="text1"/>
          <w:w w:val="105"/>
          <w:szCs w:val="24"/>
          <w:lang w:val="en-US"/>
        </w:rPr>
        <w:t>The</w:t>
      </w:r>
      <w:r w:rsidRPr="00E24B18">
        <w:rPr>
          <w:rFonts w:asciiTheme="minorHAnsi" w:eastAsia="Arial" w:hAnsiTheme="minorHAnsi" w:cstheme="minorHAnsi"/>
          <w:color w:val="000000" w:themeColor="text1"/>
          <w:w w:val="105"/>
          <w:szCs w:val="24"/>
          <w:lang w:val="en-US"/>
        </w:rPr>
        <w:t xml:space="preserve"> predominantly rural area </w:t>
      </w:r>
      <w:r>
        <w:rPr>
          <w:rFonts w:asciiTheme="minorHAnsi" w:eastAsia="Arial" w:hAnsiTheme="minorHAnsi" w:cstheme="minorHAnsi"/>
          <w:color w:val="000000" w:themeColor="text1"/>
          <w:w w:val="105"/>
          <w:szCs w:val="24"/>
          <w:lang w:val="en-US"/>
        </w:rPr>
        <w:t>of</w:t>
      </w:r>
      <w:r w:rsidRPr="00E24B18">
        <w:rPr>
          <w:rFonts w:asciiTheme="minorHAnsi" w:eastAsia="Arial" w:hAnsiTheme="minorHAnsi" w:cstheme="minorHAnsi"/>
          <w:color w:val="000000" w:themeColor="text1"/>
          <w:w w:val="105"/>
          <w:szCs w:val="24"/>
          <w:lang w:val="en-US"/>
        </w:rPr>
        <w:t xml:space="preserve"> Shropshire </w:t>
      </w:r>
      <w:r>
        <w:rPr>
          <w:rFonts w:asciiTheme="minorHAnsi" w:eastAsia="Arial" w:hAnsiTheme="minorHAnsi" w:cstheme="minorHAnsi"/>
          <w:color w:val="000000" w:themeColor="text1"/>
          <w:w w:val="105"/>
          <w:szCs w:val="24"/>
          <w:lang w:val="en-US"/>
        </w:rPr>
        <w:t>has</w:t>
      </w:r>
      <w:r w:rsidRPr="00E24B18">
        <w:rPr>
          <w:rFonts w:asciiTheme="minorHAnsi" w:eastAsia="Arial" w:hAnsiTheme="minorHAnsi" w:cstheme="minorHAnsi"/>
          <w:color w:val="000000" w:themeColor="text1"/>
          <w:w w:val="105"/>
          <w:szCs w:val="24"/>
          <w:lang w:val="en-US"/>
        </w:rPr>
        <w:t xml:space="preserve"> a large stock of </w:t>
      </w:r>
      <w:r w:rsidR="003C720D">
        <w:rPr>
          <w:rFonts w:asciiTheme="minorHAnsi" w:eastAsia="Arial" w:hAnsiTheme="minorHAnsi" w:cstheme="minorHAnsi"/>
          <w:color w:val="000000" w:themeColor="text1"/>
          <w:w w:val="105"/>
          <w:szCs w:val="24"/>
          <w:lang w:val="en-US"/>
        </w:rPr>
        <w:t>historic buildings, many of which are likely to be poorly insulated.  In meeting Climate E</w:t>
      </w:r>
      <w:r w:rsidRPr="00E24B18">
        <w:rPr>
          <w:rFonts w:asciiTheme="minorHAnsi" w:eastAsia="Arial" w:hAnsiTheme="minorHAnsi" w:cstheme="minorHAnsi"/>
          <w:color w:val="000000" w:themeColor="text1"/>
          <w:w w:val="105"/>
          <w:szCs w:val="24"/>
          <w:lang w:val="en-US"/>
        </w:rPr>
        <w:t xml:space="preserve">mergency </w:t>
      </w:r>
      <w:r w:rsidR="003C720D">
        <w:rPr>
          <w:rFonts w:asciiTheme="minorHAnsi" w:eastAsia="Arial" w:hAnsiTheme="minorHAnsi" w:cstheme="minorHAnsi"/>
          <w:color w:val="000000" w:themeColor="text1"/>
          <w:w w:val="105"/>
          <w:szCs w:val="24"/>
          <w:lang w:val="en-US"/>
        </w:rPr>
        <w:t>requirements</w:t>
      </w:r>
      <w:r w:rsidRPr="00E24B18">
        <w:rPr>
          <w:rFonts w:asciiTheme="minorHAnsi" w:eastAsia="Arial" w:hAnsiTheme="minorHAnsi" w:cstheme="minorHAnsi"/>
          <w:color w:val="000000" w:themeColor="text1"/>
          <w:w w:val="105"/>
          <w:szCs w:val="24"/>
          <w:lang w:val="en-US"/>
        </w:rPr>
        <w:t xml:space="preserve">, reducing carbon emissions from </w:t>
      </w:r>
      <w:r w:rsidR="003C720D">
        <w:rPr>
          <w:rFonts w:asciiTheme="minorHAnsi" w:eastAsia="Arial" w:hAnsiTheme="minorHAnsi" w:cstheme="minorHAnsi"/>
          <w:color w:val="000000" w:themeColor="text1"/>
          <w:w w:val="105"/>
          <w:szCs w:val="24"/>
          <w:lang w:val="en-US"/>
        </w:rPr>
        <w:t>the</w:t>
      </w:r>
      <w:r w:rsidRPr="00E24B18">
        <w:rPr>
          <w:rFonts w:asciiTheme="minorHAnsi" w:eastAsia="Arial" w:hAnsiTheme="minorHAnsi" w:cstheme="minorHAnsi"/>
          <w:color w:val="000000" w:themeColor="text1"/>
          <w:w w:val="105"/>
          <w:szCs w:val="24"/>
          <w:lang w:val="en-US"/>
        </w:rPr>
        <w:t xml:space="preserve"> existing building stock</w:t>
      </w:r>
      <w:r w:rsidR="003C720D">
        <w:rPr>
          <w:rFonts w:asciiTheme="minorHAnsi" w:eastAsia="Arial" w:hAnsiTheme="minorHAnsi" w:cstheme="minorHAnsi"/>
          <w:color w:val="000000" w:themeColor="text1"/>
          <w:w w:val="105"/>
          <w:szCs w:val="24"/>
          <w:lang w:val="en-US"/>
        </w:rPr>
        <w:t>, particularly leaky historic buildings,</w:t>
      </w:r>
      <w:r w:rsidRPr="00E24B18">
        <w:rPr>
          <w:rFonts w:asciiTheme="minorHAnsi" w:eastAsia="Arial" w:hAnsiTheme="minorHAnsi" w:cstheme="minorHAnsi"/>
          <w:color w:val="000000" w:themeColor="text1"/>
          <w:w w:val="105"/>
          <w:szCs w:val="24"/>
          <w:lang w:val="en-US"/>
        </w:rPr>
        <w:t xml:space="preserve"> is at least as big a challenge as ensuring that new development is zero carbon. </w:t>
      </w:r>
    </w:p>
    <w:p w:rsidR="003C720D" w:rsidRDefault="003C720D" w:rsidP="003C720D">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szCs w:val="24"/>
          <w:lang w:val="en-US"/>
        </w:rPr>
      </w:pPr>
      <w:r w:rsidRPr="003C720D">
        <w:rPr>
          <w:rFonts w:asciiTheme="minorHAnsi" w:eastAsia="Arial" w:hAnsiTheme="minorHAnsi" w:cstheme="minorHAnsi"/>
          <w:color w:val="000000" w:themeColor="text1"/>
          <w:w w:val="105"/>
          <w:szCs w:val="24"/>
          <w:lang w:val="en-US"/>
        </w:rPr>
        <w:t>O</w:t>
      </w:r>
      <w:r>
        <w:rPr>
          <w:rFonts w:asciiTheme="minorHAnsi" w:eastAsia="Arial" w:hAnsiTheme="minorHAnsi" w:cstheme="minorHAnsi"/>
          <w:color w:val="000000" w:themeColor="text1"/>
          <w:w w:val="105"/>
          <w:szCs w:val="24"/>
          <w:lang w:val="en-US"/>
        </w:rPr>
        <w:t>fficers have pointed out that o</w:t>
      </w:r>
      <w:r w:rsidRPr="003C720D">
        <w:rPr>
          <w:rFonts w:asciiTheme="minorHAnsi" w:eastAsia="Arial" w:hAnsiTheme="minorHAnsi" w:cstheme="minorHAnsi"/>
          <w:color w:val="000000" w:themeColor="text1"/>
          <w:w w:val="105"/>
          <w:szCs w:val="24"/>
          <w:lang w:val="en-US"/>
        </w:rPr>
        <w:t>ver 80% of the domestic housing which will exist in 2030 already exists and deliverable measures to foster the retrofit of existing property are therefore essential if we are to have any chance of achieving our collective goal</w:t>
      </w:r>
      <w:r>
        <w:rPr>
          <w:rFonts w:asciiTheme="minorHAnsi" w:eastAsia="Arial" w:hAnsiTheme="minorHAnsi" w:cstheme="minorHAnsi"/>
          <w:color w:val="000000" w:themeColor="text1"/>
          <w:w w:val="105"/>
          <w:szCs w:val="24"/>
          <w:lang w:val="en-US"/>
        </w:rPr>
        <w:t>.</w:t>
      </w:r>
    </w:p>
    <w:p w:rsidR="003C720D" w:rsidRPr="003C720D" w:rsidRDefault="003C720D" w:rsidP="003C720D">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szCs w:val="24"/>
          <w:lang w:val="en-US"/>
        </w:rPr>
      </w:pPr>
      <w:r w:rsidRPr="003C720D">
        <w:rPr>
          <w:rFonts w:asciiTheme="minorHAnsi" w:eastAsia="Arial" w:hAnsiTheme="minorHAnsi" w:cstheme="minorHAnsi"/>
          <w:color w:val="000000" w:themeColor="text1"/>
          <w:w w:val="105"/>
          <w:szCs w:val="24"/>
          <w:lang w:val="en-US"/>
        </w:rPr>
        <w:t xml:space="preserve">It would </w:t>
      </w:r>
      <w:r>
        <w:rPr>
          <w:rFonts w:asciiTheme="minorHAnsi" w:eastAsia="Arial" w:hAnsiTheme="minorHAnsi" w:cstheme="minorHAnsi"/>
          <w:color w:val="000000" w:themeColor="text1"/>
          <w:w w:val="105"/>
          <w:szCs w:val="24"/>
          <w:lang w:val="en-US"/>
        </w:rPr>
        <w:t xml:space="preserve">also </w:t>
      </w:r>
      <w:r w:rsidRPr="003C720D">
        <w:rPr>
          <w:rFonts w:asciiTheme="minorHAnsi" w:eastAsia="Arial" w:hAnsiTheme="minorHAnsi" w:cstheme="minorHAnsi"/>
          <w:color w:val="000000" w:themeColor="text1"/>
          <w:w w:val="105"/>
          <w:szCs w:val="24"/>
          <w:lang w:val="en-US"/>
        </w:rPr>
        <w:t>be beneficial to develop supplementary planning guidance setting out how homeowners could improve the energy efficiency of their own homes without detracting from their heritage significance</w:t>
      </w:r>
      <w:r>
        <w:rPr>
          <w:rFonts w:asciiTheme="minorHAnsi" w:eastAsia="Arial" w:hAnsiTheme="minorHAnsi" w:cstheme="minorHAnsi"/>
          <w:color w:val="000000" w:themeColor="text1"/>
          <w:w w:val="105"/>
          <w:szCs w:val="24"/>
          <w:lang w:val="en-US"/>
        </w:rPr>
        <w:t>.</w:t>
      </w:r>
    </w:p>
    <w:p w:rsidR="003C720D" w:rsidRPr="00635474" w:rsidRDefault="003C720D" w:rsidP="00B55A54">
      <w:pPr>
        <w:pStyle w:val="Heading2"/>
        <w:keepNext w:val="0"/>
        <w:spacing w:before="240" w:after="120"/>
        <w:rPr>
          <w:rFonts w:asciiTheme="minorHAnsi" w:eastAsiaTheme="minorHAnsi" w:hAnsiTheme="minorHAnsi" w:cstheme="minorHAnsi"/>
          <w:b/>
          <w:i/>
          <w:color w:val="0070C0"/>
          <w:sz w:val="28"/>
          <w:szCs w:val="28"/>
          <w:lang w:eastAsia="en-GB"/>
        </w:rPr>
      </w:pPr>
      <w:bookmarkStart w:id="43" w:name="_Toc65242929"/>
      <w:r w:rsidRPr="005307CB">
        <w:rPr>
          <w:rFonts w:asciiTheme="minorHAnsi" w:eastAsiaTheme="minorHAnsi" w:hAnsiTheme="minorHAnsi" w:cstheme="minorHAnsi"/>
          <w:b/>
          <w:i/>
          <w:color w:val="0070C0"/>
          <w:sz w:val="28"/>
          <w:szCs w:val="28"/>
          <w:lang w:eastAsia="en-GB"/>
        </w:rPr>
        <w:t>Modification(s) considered necessary</w:t>
      </w:r>
      <w:bookmarkEnd w:id="43"/>
    </w:p>
    <w:p w:rsidR="00E24B18" w:rsidRPr="003C720D" w:rsidRDefault="003C720D" w:rsidP="003C720D">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T</w:t>
      </w:r>
      <w:r w:rsidR="00E24B18" w:rsidRPr="00E24B18">
        <w:rPr>
          <w:rFonts w:asciiTheme="minorHAnsi" w:eastAsia="Arial" w:hAnsiTheme="minorHAnsi" w:cstheme="minorHAnsi"/>
          <w:color w:val="000000" w:themeColor="text1"/>
          <w:w w:val="105"/>
          <w:szCs w:val="24"/>
          <w:lang w:val="en-US"/>
        </w:rPr>
        <w:t>ext should be added similar to the following:</w:t>
      </w:r>
    </w:p>
    <w:p w:rsidR="00E24B18" w:rsidRDefault="00455812" w:rsidP="00B55A54">
      <w:pPr>
        <w:widowControl w:val="0"/>
        <w:autoSpaceDE w:val="0"/>
        <w:autoSpaceDN w:val="0"/>
        <w:spacing w:line="314" w:lineRule="auto"/>
        <w:ind w:left="567" w:right="222" w:hanging="1"/>
        <w:rPr>
          <w:rFonts w:asciiTheme="minorHAnsi" w:hAnsiTheme="minorHAnsi" w:cstheme="minorHAnsi"/>
          <w:color w:val="000000" w:themeColor="text1"/>
          <w:w w:val="105"/>
        </w:rPr>
      </w:pPr>
      <w:r w:rsidRPr="00455812">
        <w:rPr>
          <w:rFonts w:asciiTheme="minorHAnsi" w:hAnsiTheme="minorHAnsi" w:cstheme="minorHAnsi"/>
          <w:color w:val="000000" w:themeColor="text1"/>
          <w:w w:val="105"/>
        </w:rPr>
        <w:t xml:space="preserve">The Council will seek to encourage and enable the sensitive retrofitting of energy efficiency measures and the appropriate use of micro-renewables in historic buildings (including listed buildings and buildings of solid wall or traditional construction) and in conservation areas, whilst safeguarding the special characteristics of these heritage assets for the future. </w:t>
      </w:r>
      <w:r>
        <w:rPr>
          <w:rFonts w:asciiTheme="minorHAnsi" w:hAnsiTheme="minorHAnsi" w:cstheme="minorHAnsi"/>
          <w:color w:val="000000" w:themeColor="text1"/>
          <w:w w:val="105"/>
        </w:rPr>
        <w:t xml:space="preserve"> </w:t>
      </w:r>
      <w:r w:rsidRPr="00455812">
        <w:rPr>
          <w:rFonts w:asciiTheme="minorHAnsi" w:hAnsiTheme="minorHAnsi" w:cstheme="minorHAnsi"/>
          <w:color w:val="000000" w:themeColor="text1"/>
          <w:w w:val="105"/>
        </w:rPr>
        <w:t xml:space="preserve">Proposals will be considered against national planning policy. </w:t>
      </w:r>
      <w:r>
        <w:rPr>
          <w:rFonts w:asciiTheme="minorHAnsi" w:hAnsiTheme="minorHAnsi" w:cstheme="minorHAnsi"/>
          <w:color w:val="000000" w:themeColor="text1"/>
          <w:w w:val="105"/>
        </w:rPr>
        <w:t xml:space="preserve"> </w:t>
      </w:r>
      <w:r w:rsidRPr="00455812">
        <w:rPr>
          <w:rFonts w:asciiTheme="minorHAnsi" w:hAnsiTheme="minorHAnsi" w:cstheme="minorHAnsi"/>
          <w:color w:val="000000" w:themeColor="text1"/>
          <w:w w:val="105"/>
        </w:rPr>
        <w:t>The policy will be supported by the Council's Sustainable Construction and Retrofitting Supplementary Planning Document</w:t>
      </w:r>
      <w:r>
        <w:rPr>
          <w:rFonts w:asciiTheme="minorHAnsi" w:hAnsiTheme="minorHAnsi" w:cstheme="minorHAnsi"/>
          <w:color w:val="000000" w:themeColor="text1"/>
          <w:w w:val="105"/>
        </w:rPr>
        <w:t>.</w:t>
      </w:r>
    </w:p>
    <w:p w:rsidR="00650C0E" w:rsidRDefault="00650C0E" w:rsidP="00B55A54">
      <w:pPr>
        <w:widowControl w:val="0"/>
        <w:autoSpaceDE w:val="0"/>
        <w:autoSpaceDN w:val="0"/>
        <w:spacing w:line="314" w:lineRule="auto"/>
        <w:ind w:left="567" w:right="222" w:hanging="1"/>
        <w:rPr>
          <w:rFonts w:asciiTheme="minorHAnsi" w:hAnsiTheme="minorHAnsi" w:cstheme="minorHAnsi"/>
          <w:color w:val="000000" w:themeColor="text1"/>
          <w:w w:val="105"/>
        </w:rPr>
      </w:pPr>
      <w:r>
        <w:rPr>
          <w:rFonts w:asciiTheme="minorHAnsi" w:hAnsiTheme="minorHAnsi" w:cstheme="minorHAnsi"/>
          <w:color w:val="000000" w:themeColor="text1"/>
          <w:w w:val="105"/>
        </w:rPr>
        <w:br w:type="page"/>
      </w:r>
    </w:p>
    <w:p w:rsidR="00C60006" w:rsidRDefault="008E2D97" w:rsidP="008E2D97">
      <w:pPr>
        <w:pStyle w:val="ListParagraph"/>
        <w:keepNext/>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44" w:name="_Toc65242930"/>
      <w:r>
        <w:rPr>
          <w:rFonts w:asciiTheme="minorHAnsi" w:hAnsiTheme="minorHAnsi" w:cstheme="minorHAnsi"/>
          <w:b/>
          <w:color w:val="0070C0"/>
          <w:sz w:val="36"/>
          <w:szCs w:val="36"/>
          <w:lang w:eastAsia="en-GB"/>
        </w:rPr>
        <w:lastRenderedPageBreak/>
        <w:t>DP24</w:t>
      </w:r>
      <w:r w:rsidR="00C60006">
        <w:rPr>
          <w:rFonts w:asciiTheme="minorHAnsi" w:hAnsiTheme="minorHAnsi" w:cstheme="minorHAnsi"/>
          <w:b/>
          <w:color w:val="0070C0"/>
          <w:sz w:val="36"/>
          <w:szCs w:val="36"/>
          <w:lang w:eastAsia="en-GB"/>
        </w:rPr>
        <w:t xml:space="preserve"> </w:t>
      </w:r>
      <w:r>
        <w:rPr>
          <w:rFonts w:asciiTheme="minorHAnsi" w:hAnsiTheme="minorHAnsi" w:cstheme="minorHAnsi"/>
          <w:b/>
          <w:color w:val="0070C0"/>
          <w:sz w:val="36"/>
          <w:szCs w:val="36"/>
          <w:lang w:eastAsia="en-GB"/>
        </w:rPr>
        <w:t>Shropshire Hills Area of Outstanding Natural Beauty</w:t>
      </w:r>
      <w:bookmarkEnd w:id="44"/>
    </w:p>
    <w:p w:rsidR="00C60006" w:rsidRPr="00FE2663" w:rsidRDefault="00C60006" w:rsidP="00C60006">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C60006" w:rsidRPr="00FE2663" w:rsidRDefault="00C60006" w:rsidP="00C60006">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C60006" w:rsidRPr="00A17498" w:rsidTr="00C60006">
        <w:trPr>
          <w:trHeight w:val="283"/>
        </w:trPr>
        <w:tc>
          <w:tcPr>
            <w:tcW w:w="567" w:type="dxa"/>
            <w:tcBorders>
              <w:right w:val="single" w:sz="4" w:space="0" w:color="auto"/>
            </w:tcBorders>
            <w:vAlign w:val="center"/>
          </w:tcPr>
          <w:p w:rsidR="00C60006" w:rsidRPr="00A17498" w:rsidRDefault="00C60006" w:rsidP="00C60006">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C60006" w:rsidRPr="001251D0" w:rsidRDefault="00C60006" w:rsidP="00C60006">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C60006" w:rsidRPr="00A17498" w:rsidRDefault="00C60006" w:rsidP="00C60006">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C60006" w:rsidRPr="00A17498" w:rsidTr="00C60006">
        <w:trPr>
          <w:trHeight w:val="283"/>
        </w:trPr>
        <w:tc>
          <w:tcPr>
            <w:tcW w:w="1134" w:type="dxa"/>
            <w:tcBorders>
              <w:top w:val="nil"/>
              <w:left w:val="nil"/>
              <w:bottom w:val="nil"/>
              <w:right w:val="single" w:sz="4" w:space="0" w:color="auto"/>
            </w:tcBorders>
            <w:vAlign w:val="center"/>
          </w:tcPr>
          <w:p w:rsidR="00C60006" w:rsidRPr="00A17498" w:rsidRDefault="00C60006" w:rsidP="00C60006">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C60006" w:rsidRPr="00A17498" w:rsidRDefault="00C60006" w:rsidP="00C60006">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C60006" w:rsidRPr="00A17498" w:rsidRDefault="00C60006" w:rsidP="00C60006">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C60006" w:rsidRPr="00A17498" w:rsidRDefault="00C60006" w:rsidP="00C60006">
            <w:pPr>
              <w:pStyle w:val="BodyText"/>
              <w:spacing w:after="0"/>
              <w:rPr>
                <w:rFonts w:asciiTheme="minorHAnsi" w:hAnsiTheme="minorHAnsi" w:cstheme="minorHAnsi"/>
              </w:rPr>
            </w:pPr>
            <w:r>
              <w:rPr>
                <w:rFonts w:asciiTheme="minorHAnsi" w:hAnsiTheme="minorHAnsi" w:cstheme="minorHAnsi"/>
              </w:rPr>
              <w:t>SP11</w:t>
            </w:r>
          </w:p>
        </w:tc>
      </w:tr>
    </w:tbl>
    <w:p w:rsidR="00C60006" w:rsidRPr="00A17498" w:rsidRDefault="00C60006" w:rsidP="00C60006">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B20DB7" w:rsidTr="00CD44CB">
        <w:trPr>
          <w:trHeight w:val="283"/>
        </w:trPr>
        <w:tc>
          <w:tcPr>
            <w:tcW w:w="4820" w:type="dxa"/>
            <w:tcBorders>
              <w:top w:val="nil"/>
              <w:left w:val="nil"/>
              <w:bottom w:val="nil"/>
            </w:tcBorders>
          </w:tcPr>
          <w:p w:rsidR="00B20DB7" w:rsidRPr="00882F68" w:rsidRDefault="00B20DB7" w:rsidP="00B20DB7">
            <w:pPr>
              <w:rPr>
                <w:rFonts w:ascii="Verdana" w:eastAsiaTheme="minorHAnsi" w:hAnsi="Verdana" w:cs="Verdana"/>
                <w:color w:val="000000"/>
                <w:sz w:val="20"/>
                <w:szCs w:val="20"/>
              </w:rPr>
            </w:pPr>
            <w:r w:rsidRPr="00882F68">
              <w:rPr>
                <w:rFonts w:ascii="Verdana" w:eastAsiaTheme="minorHAnsi" w:hAnsi="Verdana" w:cs="Verdana"/>
                <w:color w:val="000000"/>
                <w:sz w:val="20"/>
                <w:szCs w:val="20"/>
              </w:rPr>
              <w:t>A. Legally compliant</w:t>
            </w:r>
          </w:p>
        </w:tc>
        <w:tc>
          <w:tcPr>
            <w:tcW w:w="1275" w:type="dxa"/>
            <w:tcBorders>
              <w:bottom w:val="single" w:sz="4" w:space="0" w:color="auto"/>
            </w:tcBorders>
            <w:vAlign w:val="center"/>
          </w:tcPr>
          <w:p w:rsidR="00B20DB7" w:rsidRPr="00CD44CB" w:rsidRDefault="00B20DB7" w:rsidP="00CD44CB">
            <w:pPr>
              <w:pStyle w:val="TableParagraph"/>
              <w:rPr>
                <w:sz w:val="20"/>
              </w:rPr>
            </w:pPr>
            <w:r w:rsidRPr="00CD44CB">
              <w:rPr>
                <w:sz w:val="20"/>
              </w:rPr>
              <w:t>Yes:</w:t>
            </w:r>
          </w:p>
        </w:tc>
        <w:tc>
          <w:tcPr>
            <w:tcW w:w="567" w:type="dxa"/>
            <w:tcBorders>
              <w:top w:val="nil"/>
              <w:bottom w:val="nil"/>
            </w:tcBorders>
          </w:tcPr>
          <w:p w:rsidR="00B20DB7" w:rsidRPr="00A17498" w:rsidRDefault="00B20DB7" w:rsidP="00B20DB7">
            <w:pPr>
              <w:pStyle w:val="ListParagraph"/>
              <w:spacing w:after="0"/>
              <w:contextualSpacing w:val="0"/>
              <w:rPr>
                <w:rFonts w:asciiTheme="minorHAnsi" w:hAnsiTheme="minorHAnsi" w:cstheme="minorHAnsi"/>
                <w:b/>
              </w:rPr>
            </w:pPr>
          </w:p>
        </w:tc>
        <w:tc>
          <w:tcPr>
            <w:tcW w:w="993" w:type="dxa"/>
            <w:vAlign w:val="center"/>
          </w:tcPr>
          <w:p w:rsidR="00B20DB7" w:rsidRDefault="00B20DB7" w:rsidP="00CD44CB">
            <w:pPr>
              <w:pStyle w:val="TableParagraph"/>
              <w:rPr>
                <w:sz w:val="20"/>
              </w:rPr>
            </w:pPr>
            <w:r>
              <w:rPr>
                <w:sz w:val="20"/>
              </w:rPr>
              <w:t>No:</w:t>
            </w:r>
          </w:p>
        </w:tc>
        <w:tc>
          <w:tcPr>
            <w:tcW w:w="567" w:type="dxa"/>
            <w:vAlign w:val="center"/>
          </w:tcPr>
          <w:p w:rsidR="00B20DB7" w:rsidRPr="00A17498" w:rsidRDefault="00B20DB7" w:rsidP="00B20DB7">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r w:rsidR="00C60006" w:rsidRPr="00B20DB7" w:rsidTr="00B20DB7">
        <w:trPr>
          <w:trHeight w:val="283"/>
        </w:trPr>
        <w:tc>
          <w:tcPr>
            <w:tcW w:w="4820" w:type="dxa"/>
            <w:tcBorders>
              <w:top w:val="nil"/>
              <w:left w:val="nil"/>
              <w:bottom w:val="nil"/>
              <w:right w:val="single" w:sz="4" w:space="0" w:color="auto"/>
            </w:tcBorders>
            <w:vAlign w:val="center"/>
          </w:tcPr>
          <w:p w:rsidR="00C60006" w:rsidRPr="00882F68" w:rsidRDefault="00C60006" w:rsidP="00C60006">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single" w:sz="4" w:space="0" w:color="auto"/>
              <w:left w:val="single" w:sz="4" w:space="0" w:color="auto"/>
              <w:bottom w:val="single" w:sz="4" w:space="0" w:color="auto"/>
              <w:right w:val="single" w:sz="4" w:space="0" w:color="auto"/>
            </w:tcBorders>
            <w:vAlign w:val="center"/>
          </w:tcPr>
          <w:p w:rsidR="00C60006" w:rsidRPr="00CD44CB" w:rsidRDefault="00C60006" w:rsidP="00B20DB7">
            <w:pPr>
              <w:rPr>
                <w:rFonts w:ascii="Arial" w:eastAsiaTheme="minorHAnsi" w:hAnsi="Arial" w:cs="Arial"/>
                <w:color w:val="000000"/>
                <w:sz w:val="20"/>
                <w:szCs w:val="20"/>
              </w:rPr>
            </w:pPr>
            <w:r w:rsidRPr="00CD44CB">
              <w:rPr>
                <w:rFonts w:ascii="Arial" w:eastAsiaTheme="minorHAnsi" w:hAnsi="Arial" w:cs="Arial"/>
                <w:color w:val="000000"/>
                <w:sz w:val="20"/>
                <w:szCs w:val="20"/>
              </w:rPr>
              <w:t>Yes:</w:t>
            </w:r>
          </w:p>
        </w:tc>
        <w:tc>
          <w:tcPr>
            <w:tcW w:w="567" w:type="dxa"/>
            <w:tcBorders>
              <w:top w:val="nil"/>
              <w:left w:val="single" w:sz="4" w:space="0" w:color="auto"/>
              <w:bottom w:val="nil"/>
              <w:right w:val="single" w:sz="4" w:space="0" w:color="auto"/>
            </w:tcBorders>
            <w:vAlign w:val="center"/>
          </w:tcPr>
          <w:p w:rsidR="00C60006" w:rsidRPr="00B20DB7" w:rsidRDefault="00C60006" w:rsidP="00B20DB7">
            <w:pPr>
              <w:rPr>
                <w:rFonts w:ascii="Verdana" w:eastAsiaTheme="minorHAnsi" w:hAnsi="Verdana" w:cs="Verdana"/>
                <w:color w:val="000000"/>
                <w:sz w:val="20"/>
                <w:szCs w:val="20"/>
              </w:rPr>
            </w:pPr>
          </w:p>
        </w:tc>
        <w:tc>
          <w:tcPr>
            <w:tcW w:w="993" w:type="dxa"/>
            <w:tcBorders>
              <w:top w:val="nil"/>
              <w:left w:val="single" w:sz="4" w:space="0" w:color="auto"/>
              <w:bottom w:val="nil"/>
              <w:right w:val="single" w:sz="4" w:space="0" w:color="auto"/>
            </w:tcBorders>
            <w:vAlign w:val="center"/>
          </w:tcPr>
          <w:p w:rsidR="00C60006" w:rsidRPr="00CD44CB" w:rsidRDefault="00C60006" w:rsidP="00B20DB7">
            <w:pPr>
              <w:rPr>
                <w:rFonts w:ascii="Arial" w:eastAsiaTheme="minorHAnsi" w:hAnsi="Arial" w:cs="Arial"/>
                <w:color w:val="000000"/>
                <w:sz w:val="20"/>
                <w:szCs w:val="20"/>
              </w:rPr>
            </w:pPr>
            <w:r w:rsidRPr="00CD44CB">
              <w:rPr>
                <w:rFonts w:ascii="Arial" w:eastAsiaTheme="minorHAnsi" w:hAnsi="Arial" w:cs="Arial"/>
                <w:color w:val="000000"/>
                <w:sz w:val="20"/>
                <w:szCs w:val="20"/>
              </w:rPr>
              <w:t>No:</w:t>
            </w:r>
          </w:p>
        </w:tc>
        <w:tc>
          <w:tcPr>
            <w:tcW w:w="567" w:type="dxa"/>
            <w:tcBorders>
              <w:left w:val="single" w:sz="4" w:space="0" w:color="auto"/>
            </w:tcBorders>
            <w:vAlign w:val="center"/>
          </w:tcPr>
          <w:p w:rsidR="00C60006" w:rsidRPr="00CD44CB" w:rsidRDefault="00C60006" w:rsidP="00CD44CB">
            <w:pPr>
              <w:pStyle w:val="ListParagraph"/>
              <w:spacing w:after="0"/>
              <w:contextualSpacing w:val="0"/>
              <w:rPr>
                <w:rFonts w:asciiTheme="minorHAnsi" w:hAnsiTheme="minorHAnsi" w:cstheme="minorHAnsi"/>
                <w:b/>
              </w:rPr>
            </w:pPr>
            <w:r w:rsidRPr="00CD44CB">
              <w:rPr>
                <w:rFonts w:asciiTheme="minorHAnsi" w:hAnsiTheme="minorHAnsi" w:cstheme="minorHAnsi"/>
                <w:b/>
              </w:rPr>
              <w:t>√</w:t>
            </w:r>
          </w:p>
        </w:tc>
      </w:tr>
    </w:tbl>
    <w:p w:rsidR="00C60006" w:rsidRPr="005307CB" w:rsidRDefault="00C60006" w:rsidP="00C60006">
      <w:pPr>
        <w:pStyle w:val="Heading2"/>
        <w:spacing w:before="240" w:after="120"/>
        <w:rPr>
          <w:rFonts w:asciiTheme="minorHAnsi" w:eastAsiaTheme="minorHAnsi" w:hAnsiTheme="minorHAnsi" w:cstheme="minorHAnsi"/>
          <w:b/>
          <w:i/>
          <w:color w:val="0070C0"/>
          <w:sz w:val="28"/>
          <w:szCs w:val="28"/>
          <w:lang w:eastAsia="en-GB"/>
        </w:rPr>
      </w:pPr>
      <w:bookmarkStart w:id="45" w:name="_Toc65242931"/>
      <w:r w:rsidRPr="005307CB">
        <w:rPr>
          <w:rFonts w:asciiTheme="minorHAnsi" w:eastAsiaTheme="minorHAnsi" w:hAnsiTheme="minorHAnsi" w:cstheme="minorHAnsi"/>
          <w:b/>
          <w:i/>
          <w:color w:val="0070C0"/>
          <w:sz w:val="28"/>
          <w:szCs w:val="28"/>
          <w:lang w:eastAsia="en-GB"/>
        </w:rPr>
        <w:t>Details</w:t>
      </w:r>
      <w:bookmarkEnd w:id="45"/>
    </w:p>
    <w:p w:rsidR="00C60006" w:rsidRDefault="008E2D97" w:rsidP="00C60006">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 xml:space="preserve">The </w:t>
      </w:r>
      <w:r w:rsidRPr="008E2D97">
        <w:rPr>
          <w:rFonts w:asciiTheme="minorHAnsi" w:eastAsia="Arial" w:hAnsiTheme="minorHAnsi" w:cstheme="minorHAnsi"/>
          <w:color w:val="000000" w:themeColor="text1"/>
          <w:w w:val="105"/>
          <w:szCs w:val="24"/>
          <w:lang w:val="en-US"/>
        </w:rPr>
        <w:t>Shropshire Hills Area of Outstanding Natural Beauty</w:t>
      </w:r>
      <w:r w:rsidR="00CD44CB">
        <w:rPr>
          <w:rStyle w:val="FootnoteReference"/>
          <w:rFonts w:asciiTheme="minorHAnsi" w:eastAsia="Arial" w:hAnsiTheme="minorHAnsi" w:cstheme="minorHAnsi"/>
          <w:color w:val="000000" w:themeColor="text1"/>
          <w:w w:val="105"/>
          <w:szCs w:val="24"/>
          <w:lang w:val="en-US"/>
        </w:rPr>
        <w:footnoteReference w:id="25"/>
      </w:r>
      <w:r>
        <w:rPr>
          <w:rFonts w:asciiTheme="minorHAnsi" w:eastAsia="Arial" w:hAnsiTheme="minorHAnsi" w:cstheme="minorHAnsi"/>
          <w:color w:val="000000" w:themeColor="text1"/>
          <w:w w:val="105"/>
          <w:szCs w:val="24"/>
          <w:lang w:val="en-US"/>
        </w:rPr>
        <w:t xml:space="preserve">, with its iconic landscape and geology, </w:t>
      </w:r>
      <w:r w:rsidR="00CD44CB" w:rsidRPr="00CD44CB">
        <w:rPr>
          <w:rFonts w:asciiTheme="minorHAnsi" w:eastAsia="Arial" w:hAnsiTheme="minorHAnsi" w:cstheme="minorHAnsi"/>
          <w:color w:val="000000" w:themeColor="text1"/>
          <w:w w:val="105"/>
          <w:szCs w:val="24"/>
          <w:lang w:val="en-US"/>
        </w:rPr>
        <w:t>covers almost a quarter of Shropshire</w:t>
      </w:r>
      <w:r w:rsidR="00CD44CB">
        <w:rPr>
          <w:rFonts w:asciiTheme="minorHAnsi" w:eastAsia="Arial" w:hAnsiTheme="minorHAnsi" w:cstheme="minorHAnsi"/>
          <w:color w:val="000000" w:themeColor="text1"/>
          <w:w w:val="105"/>
          <w:szCs w:val="24"/>
          <w:lang w:val="en-US"/>
        </w:rPr>
        <w:t>.  AONBs enjoy special protections under law and planning policy.</w:t>
      </w:r>
    </w:p>
    <w:p w:rsidR="00B20DB7" w:rsidRPr="008E2D97" w:rsidRDefault="007A6D2B" w:rsidP="00C60006">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We endorse the separate submissions made by the AONB partnership and by the Save Snatchfield Group.</w:t>
      </w:r>
    </w:p>
    <w:p w:rsidR="00C60006" w:rsidRPr="00635474" w:rsidRDefault="00C60006" w:rsidP="00C60006">
      <w:pPr>
        <w:pStyle w:val="Heading2"/>
        <w:keepNext w:val="0"/>
        <w:spacing w:before="240" w:after="120"/>
        <w:rPr>
          <w:rFonts w:asciiTheme="minorHAnsi" w:eastAsiaTheme="minorHAnsi" w:hAnsiTheme="minorHAnsi" w:cstheme="minorHAnsi"/>
          <w:b/>
          <w:i/>
          <w:color w:val="0070C0"/>
          <w:sz w:val="28"/>
          <w:szCs w:val="28"/>
          <w:lang w:eastAsia="en-GB"/>
        </w:rPr>
      </w:pPr>
      <w:bookmarkStart w:id="46" w:name="_Toc65242932"/>
      <w:r w:rsidRPr="005307CB">
        <w:rPr>
          <w:rFonts w:asciiTheme="minorHAnsi" w:eastAsiaTheme="minorHAnsi" w:hAnsiTheme="minorHAnsi" w:cstheme="minorHAnsi"/>
          <w:b/>
          <w:i/>
          <w:color w:val="0070C0"/>
          <w:sz w:val="28"/>
          <w:szCs w:val="28"/>
          <w:lang w:eastAsia="en-GB"/>
        </w:rPr>
        <w:t>Modification(s) considered necessary</w:t>
      </w:r>
      <w:bookmarkEnd w:id="46"/>
    </w:p>
    <w:p w:rsidR="00C60006" w:rsidRDefault="00C60006" w:rsidP="00C60006">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T</w:t>
      </w:r>
      <w:r w:rsidRPr="00E24B18">
        <w:rPr>
          <w:rFonts w:asciiTheme="minorHAnsi" w:eastAsia="Arial" w:hAnsiTheme="minorHAnsi" w:cstheme="minorHAnsi"/>
          <w:color w:val="000000" w:themeColor="text1"/>
          <w:w w:val="105"/>
          <w:szCs w:val="24"/>
          <w:lang w:val="en-US"/>
        </w:rPr>
        <w:t xml:space="preserve">ext should be </w:t>
      </w:r>
      <w:r w:rsidR="007A6D2B">
        <w:rPr>
          <w:rFonts w:asciiTheme="minorHAnsi" w:eastAsia="Arial" w:hAnsiTheme="minorHAnsi" w:cstheme="minorHAnsi"/>
          <w:color w:val="000000" w:themeColor="text1"/>
          <w:w w:val="105"/>
          <w:szCs w:val="24"/>
          <w:lang w:val="en-US"/>
        </w:rPr>
        <w:t>amended in line with the suggestions made by the AONB partnership and by the Save Snatchfield Group.</w:t>
      </w:r>
    </w:p>
    <w:p w:rsidR="00650C0E" w:rsidRDefault="00650C0E" w:rsidP="00650C0E">
      <w:pPr>
        <w:pStyle w:val="ListParagraph"/>
        <w:spacing w:before="240" w:line="300" w:lineRule="auto"/>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br w:type="page"/>
      </w:r>
    </w:p>
    <w:p w:rsidR="009E0C85" w:rsidRPr="00862910" w:rsidRDefault="009E0C85" w:rsidP="009E0C85">
      <w:pPr>
        <w:pStyle w:val="ListParagraph"/>
        <w:keepNext/>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47" w:name="_Toc65242933"/>
      <w:r>
        <w:rPr>
          <w:rFonts w:asciiTheme="minorHAnsi" w:hAnsiTheme="minorHAnsi" w:cstheme="minorHAnsi"/>
          <w:b/>
          <w:color w:val="0070C0"/>
          <w:sz w:val="36"/>
          <w:szCs w:val="36"/>
          <w:lang w:eastAsia="en-GB"/>
        </w:rPr>
        <w:lastRenderedPageBreak/>
        <w:t>DP26 Strategic, Renewable and Low Carbon Infrastructure</w:t>
      </w:r>
      <w:bookmarkEnd w:id="47"/>
    </w:p>
    <w:p w:rsidR="009E0C85" w:rsidRPr="00FE2663" w:rsidRDefault="009E0C85" w:rsidP="009E0C85">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9E0C85" w:rsidRPr="00FE2663" w:rsidRDefault="009E0C85" w:rsidP="009E0C85">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9E0C85" w:rsidRPr="00A17498" w:rsidTr="007673BE">
        <w:trPr>
          <w:trHeight w:val="283"/>
        </w:trPr>
        <w:tc>
          <w:tcPr>
            <w:tcW w:w="567" w:type="dxa"/>
            <w:tcBorders>
              <w:right w:val="single" w:sz="4" w:space="0" w:color="auto"/>
            </w:tcBorders>
            <w:vAlign w:val="center"/>
          </w:tcPr>
          <w:p w:rsidR="009E0C85" w:rsidRPr="00A17498" w:rsidRDefault="009E0C85" w:rsidP="007673BE">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9E0C85" w:rsidRPr="001251D0" w:rsidRDefault="009E0C85" w:rsidP="007673BE">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9E0C85" w:rsidRPr="00A17498" w:rsidRDefault="009E0C85" w:rsidP="009E0C85">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9E0C85" w:rsidRPr="00A17498" w:rsidTr="007673BE">
        <w:trPr>
          <w:trHeight w:val="283"/>
        </w:trPr>
        <w:tc>
          <w:tcPr>
            <w:tcW w:w="1134" w:type="dxa"/>
            <w:tcBorders>
              <w:top w:val="nil"/>
              <w:left w:val="nil"/>
              <w:bottom w:val="nil"/>
              <w:right w:val="single" w:sz="4" w:space="0" w:color="auto"/>
            </w:tcBorders>
            <w:vAlign w:val="center"/>
          </w:tcPr>
          <w:p w:rsidR="009E0C85" w:rsidRPr="00A17498" w:rsidRDefault="009E0C85" w:rsidP="007673BE">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9E0C85" w:rsidRPr="00A17498" w:rsidRDefault="009E0C85" w:rsidP="007673BE">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9E0C85" w:rsidRPr="00A17498" w:rsidRDefault="009E0C85" w:rsidP="007673BE">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9E0C85" w:rsidRPr="00A17498" w:rsidRDefault="009E0C85" w:rsidP="007673BE">
            <w:pPr>
              <w:pStyle w:val="BodyText"/>
              <w:spacing w:after="0"/>
              <w:rPr>
                <w:rFonts w:asciiTheme="minorHAnsi" w:hAnsiTheme="minorHAnsi" w:cstheme="minorHAnsi"/>
              </w:rPr>
            </w:pPr>
            <w:r>
              <w:rPr>
                <w:rFonts w:asciiTheme="minorHAnsi" w:hAnsiTheme="minorHAnsi" w:cstheme="minorHAnsi"/>
              </w:rPr>
              <w:t>DP26</w:t>
            </w:r>
          </w:p>
        </w:tc>
      </w:tr>
    </w:tbl>
    <w:p w:rsidR="009E0C85" w:rsidRPr="00A17498" w:rsidRDefault="009E0C85" w:rsidP="009E0C85">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9E0C85" w:rsidTr="007673BE">
        <w:trPr>
          <w:trHeight w:val="283"/>
        </w:trPr>
        <w:tc>
          <w:tcPr>
            <w:tcW w:w="4820" w:type="dxa"/>
            <w:tcBorders>
              <w:top w:val="nil"/>
              <w:left w:val="nil"/>
              <w:bottom w:val="nil"/>
              <w:right w:val="nil"/>
            </w:tcBorders>
            <w:vAlign w:val="center"/>
          </w:tcPr>
          <w:p w:rsidR="009E0C85" w:rsidRPr="00882F68" w:rsidRDefault="009E0C85" w:rsidP="007673BE">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9E0C85" w:rsidRDefault="009E0C85" w:rsidP="007673BE">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9E0C85" w:rsidRPr="00A17498" w:rsidRDefault="009E0C85" w:rsidP="007673BE">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9E0C85" w:rsidRDefault="009E0C85" w:rsidP="007673BE">
            <w:pPr>
              <w:pStyle w:val="TableParagraph"/>
              <w:spacing w:before="42"/>
              <w:rPr>
                <w:sz w:val="20"/>
              </w:rPr>
            </w:pPr>
            <w:r>
              <w:rPr>
                <w:sz w:val="20"/>
              </w:rPr>
              <w:t>No:</w:t>
            </w:r>
          </w:p>
        </w:tc>
        <w:tc>
          <w:tcPr>
            <w:tcW w:w="567" w:type="dxa"/>
            <w:tcBorders>
              <w:left w:val="single" w:sz="4" w:space="0" w:color="auto"/>
            </w:tcBorders>
            <w:vAlign w:val="center"/>
          </w:tcPr>
          <w:p w:rsidR="009E0C85" w:rsidRPr="00A17498" w:rsidRDefault="009E0C85" w:rsidP="007673BE">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bl>
    <w:p w:rsidR="009E0C85" w:rsidRPr="005307CB" w:rsidRDefault="009E0C85" w:rsidP="009E0C85">
      <w:pPr>
        <w:pStyle w:val="Heading2"/>
        <w:spacing w:before="240" w:after="120"/>
        <w:rPr>
          <w:rFonts w:asciiTheme="minorHAnsi" w:eastAsiaTheme="minorHAnsi" w:hAnsiTheme="minorHAnsi" w:cstheme="minorHAnsi"/>
          <w:b/>
          <w:i/>
          <w:color w:val="0070C0"/>
          <w:sz w:val="28"/>
          <w:szCs w:val="28"/>
          <w:lang w:eastAsia="en-GB"/>
        </w:rPr>
      </w:pPr>
      <w:bookmarkStart w:id="48" w:name="_Toc65242934"/>
      <w:r w:rsidRPr="005307CB">
        <w:rPr>
          <w:rFonts w:asciiTheme="minorHAnsi" w:eastAsiaTheme="minorHAnsi" w:hAnsiTheme="minorHAnsi" w:cstheme="minorHAnsi"/>
          <w:b/>
          <w:i/>
          <w:color w:val="0070C0"/>
          <w:sz w:val="28"/>
          <w:szCs w:val="28"/>
          <w:lang w:eastAsia="en-GB"/>
        </w:rPr>
        <w:t>Details</w:t>
      </w:r>
      <w:bookmarkEnd w:id="48"/>
    </w:p>
    <w:p w:rsidR="009E0C85" w:rsidRPr="006E7388" w:rsidRDefault="009E0C85" w:rsidP="009E0C85">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rPr>
      </w:pPr>
      <w:r>
        <w:rPr>
          <w:rFonts w:asciiTheme="minorHAnsi" w:hAnsiTheme="minorHAnsi" w:cstheme="minorHAnsi"/>
          <w:color w:val="000000" w:themeColor="text1"/>
          <w:w w:val="105"/>
        </w:rPr>
        <w:t>T</w:t>
      </w:r>
      <w:r w:rsidRPr="006E7388">
        <w:rPr>
          <w:rFonts w:asciiTheme="minorHAnsi" w:hAnsiTheme="minorHAnsi" w:cstheme="minorHAnsi"/>
          <w:color w:val="000000" w:themeColor="text1"/>
          <w:w w:val="105"/>
        </w:rPr>
        <w:t xml:space="preserve">he policy is really just a list of negative impacts which renewable energy developments could give rise to, rather than a positive strategy which maximises the potential for </w:t>
      </w:r>
      <w:r>
        <w:rPr>
          <w:rFonts w:asciiTheme="minorHAnsi" w:hAnsiTheme="minorHAnsi" w:cstheme="minorHAnsi"/>
          <w:color w:val="000000" w:themeColor="text1"/>
          <w:w w:val="105"/>
        </w:rPr>
        <w:t xml:space="preserve">renewable </w:t>
      </w:r>
      <w:r w:rsidRPr="006E7388">
        <w:rPr>
          <w:rFonts w:asciiTheme="minorHAnsi" w:hAnsiTheme="minorHAnsi" w:cstheme="minorHAnsi"/>
          <w:color w:val="000000" w:themeColor="text1"/>
          <w:w w:val="105"/>
        </w:rPr>
        <w:t>development a</w:t>
      </w:r>
      <w:r>
        <w:rPr>
          <w:rFonts w:asciiTheme="minorHAnsi" w:hAnsiTheme="minorHAnsi" w:cstheme="minorHAnsi"/>
          <w:color w:val="000000" w:themeColor="text1"/>
          <w:w w:val="105"/>
        </w:rPr>
        <w:t xml:space="preserve">s required by NPPF </w:t>
      </w:r>
      <w:r w:rsidRPr="006E7388">
        <w:rPr>
          <w:rFonts w:asciiTheme="minorHAnsi" w:hAnsiTheme="minorHAnsi" w:cstheme="minorHAnsi"/>
          <w:color w:val="000000" w:themeColor="text1"/>
          <w:w w:val="105"/>
        </w:rPr>
        <w:t>para</w:t>
      </w:r>
      <w:r w:rsidRPr="006E7388">
        <w:rPr>
          <w:rFonts w:asciiTheme="minorHAnsi" w:hAnsiTheme="minorHAnsi" w:cstheme="minorHAnsi"/>
          <w:color w:val="000000" w:themeColor="text1"/>
          <w:spacing w:val="-36"/>
          <w:w w:val="105"/>
        </w:rPr>
        <w:t xml:space="preserve"> </w:t>
      </w:r>
      <w:r>
        <w:rPr>
          <w:rFonts w:asciiTheme="minorHAnsi" w:hAnsiTheme="minorHAnsi" w:cstheme="minorHAnsi"/>
          <w:color w:val="000000" w:themeColor="text1"/>
          <w:w w:val="105"/>
        </w:rPr>
        <w:t>151a</w:t>
      </w:r>
      <w:r w:rsidRPr="006E7388">
        <w:rPr>
          <w:rFonts w:asciiTheme="minorHAnsi" w:hAnsiTheme="minorHAnsi" w:cstheme="minorHAnsi"/>
          <w:color w:val="000000" w:themeColor="text1"/>
          <w:w w:val="105"/>
        </w:rPr>
        <w:t>.</w:t>
      </w:r>
    </w:p>
    <w:p w:rsidR="009E0C85" w:rsidRDefault="009E0C85" w:rsidP="009E0C85">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lang w:val="en-US"/>
        </w:rPr>
      </w:pPr>
      <w:r w:rsidRPr="00081633">
        <w:rPr>
          <w:rFonts w:asciiTheme="minorHAnsi" w:eastAsia="Arial" w:hAnsiTheme="minorHAnsi" w:cstheme="minorHAnsi"/>
          <w:color w:val="000000" w:themeColor="text1"/>
          <w:w w:val="105"/>
          <w:lang w:val="en-US"/>
        </w:rPr>
        <w:t xml:space="preserve">Shropshire electricity usage is </w:t>
      </w:r>
      <w:r>
        <w:rPr>
          <w:rFonts w:asciiTheme="minorHAnsi" w:eastAsia="Arial" w:hAnsiTheme="minorHAnsi" w:cstheme="minorHAnsi"/>
          <w:color w:val="000000" w:themeColor="text1"/>
          <w:w w:val="105"/>
          <w:lang w:val="en-US"/>
        </w:rPr>
        <w:t xml:space="preserve">currently </w:t>
      </w:r>
      <w:r w:rsidRPr="00081633">
        <w:rPr>
          <w:rFonts w:asciiTheme="minorHAnsi" w:eastAsia="Arial" w:hAnsiTheme="minorHAnsi" w:cstheme="minorHAnsi"/>
          <w:color w:val="000000" w:themeColor="text1"/>
          <w:w w:val="105"/>
          <w:lang w:val="en-US"/>
        </w:rPr>
        <w:t xml:space="preserve">about 2,300 GWh per year and </w:t>
      </w:r>
      <w:r>
        <w:rPr>
          <w:rFonts w:asciiTheme="minorHAnsi" w:eastAsia="Arial" w:hAnsiTheme="minorHAnsi" w:cstheme="minorHAnsi"/>
          <w:color w:val="000000" w:themeColor="text1"/>
          <w:w w:val="105"/>
          <w:lang w:val="en-US"/>
        </w:rPr>
        <w:t xml:space="preserve">SCAP’s </w:t>
      </w:r>
      <w:r w:rsidRPr="00081633">
        <w:rPr>
          <w:rFonts w:asciiTheme="minorHAnsi" w:eastAsia="Arial" w:hAnsiTheme="minorHAnsi" w:cstheme="minorHAnsi"/>
          <w:color w:val="000000" w:themeColor="text1"/>
          <w:w w:val="105"/>
          <w:lang w:val="en-US"/>
        </w:rPr>
        <w:t xml:space="preserve">ZCS </w:t>
      </w:r>
      <w:r>
        <w:rPr>
          <w:rFonts w:asciiTheme="minorHAnsi" w:eastAsia="Arial" w:hAnsiTheme="minorHAnsi" w:cstheme="minorHAnsi"/>
          <w:color w:val="000000" w:themeColor="text1"/>
          <w:w w:val="105"/>
          <w:lang w:val="en-US"/>
        </w:rPr>
        <w:t xml:space="preserve">Plan </w:t>
      </w:r>
      <w:r w:rsidRPr="00081633">
        <w:rPr>
          <w:rFonts w:asciiTheme="minorHAnsi" w:eastAsia="Arial" w:hAnsiTheme="minorHAnsi" w:cstheme="minorHAnsi"/>
          <w:color w:val="000000" w:themeColor="text1"/>
          <w:w w:val="105"/>
          <w:lang w:val="en-US"/>
        </w:rPr>
        <w:t>estimates that</w:t>
      </w:r>
      <w:r>
        <w:rPr>
          <w:rFonts w:asciiTheme="minorHAnsi" w:eastAsia="Arial" w:hAnsiTheme="minorHAnsi" w:cstheme="minorHAnsi"/>
          <w:color w:val="000000" w:themeColor="text1"/>
          <w:w w:val="105"/>
          <w:lang w:val="en-US"/>
        </w:rPr>
        <w:t>, in line with national projections,</w:t>
      </w:r>
      <w:r w:rsidRPr="00081633">
        <w:rPr>
          <w:rFonts w:asciiTheme="minorHAnsi" w:eastAsia="Arial" w:hAnsiTheme="minorHAnsi" w:cstheme="minorHAnsi"/>
          <w:color w:val="000000" w:themeColor="text1"/>
          <w:w w:val="105"/>
          <w:lang w:val="en-US"/>
        </w:rPr>
        <w:t xml:space="preserve"> this will rise to about 4,800 GWh per year by 2030</w:t>
      </w:r>
      <w:r>
        <w:rPr>
          <w:rStyle w:val="FootnoteReference"/>
          <w:rFonts w:asciiTheme="minorHAnsi" w:eastAsia="Arial" w:hAnsiTheme="minorHAnsi" w:cstheme="minorHAnsi"/>
          <w:color w:val="000000" w:themeColor="text1"/>
          <w:w w:val="105"/>
          <w:lang w:val="en-US"/>
        </w:rPr>
        <w:footnoteReference w:id="26"/>
      </w:r>
      <w:r w:rsidRPr="00081633">
        <w:rPr>
          <w:rFonts w:asciiTheme="minorHAnsi" w:eastAsia="Arial" w:hAnsiTheme="minorHAnsi" w:cstheme="minorHAnsi"/>
          <w:color w:val="000000" w:themeColor="text1"/>
          <w:w w:val="105"/>
          <w:lang w:val="en-US"/>
        </w:rPr>
        <w:t xml:space="preserve">. </w:t>
      </w:r>
      <w:r>
        <w:rPr>
          <w:rFonts w:asciiTheme="minorHAnsi" w:eastAsia="Arial" w:hAnsiTheme="minorHAnsi" w:cstheme="minorHAnsi"/>
          <w:color w:val="000000" w:themeColor="text1"/>
          <w:w w:val="105"/>
          <w:lang w:val="en-US"/>
        </w:rPr>
        <w:t xml:space="preserve">Policy DP26 </w:t>
      </w:r>
      <w:r w:rsidRPr="00081633">
        <w:rPr>
          <w:rFonts w:asciiTheme="minorHAnsi" w:eastAsia="Arial" w:hAnsiTheme="minorHAnsi" w:cstheme="minorHAnsi"/>
          <w:color w:val="000000" w:themeColor="text1"/>
          <w:w w:val="105"/>
          <w:lang w:val="en-US"/>
        </w:rPr>
        <w:t>is unrealistic and fails to recognize the scale of renewable energy</w:t>
      </w:r>
      <w:r>
        <w:rPr>
          <w:rFonts w:asciiTheme="minorHAnsi" w:eastAsia="Arial" w:hAnsiTheme="minorHAnsi" w:cstheme="minorHAnsi"/>
          <w:color w:val="000000" w:themeColor="text1"/>
          <w:w w:val="105"/>
          <w:lang w:val="en-US"/>
        </w:rPr>
        <w:t xml:space="preserve"> required for the </w:t>
      </w:r>
      <w:r w:rsidRPr="00081633">
        <w:rPr>
          <w:rFonts w:asciiTheme="minorHAnsi" w:eastAsia="Arial" w:hAnsiTheme="minorHAnsi" w:cstheme="minorHAnsi"/>
          <w:color w:val="000000" w:themeColor="text1"/>
          <w:w w:val="105"/>
          <w:lang w:val="en-US"/>
        </w:rPr>
        <w:t>decarbonisation</w:t>
      </w:r>
      <w:r>
        <w:rPr>
          <w:rFonts w:asciiTheme="minorHAnsi" w:eastAsia="Arial" w:hAnsiTheme="minorHAnsi" w:cstheme="minorHAnsi"/>
          <w:color w:val="000000" w:themeColor="text1"/>
          <w:w w:val="105"/>
          <w:lang w:val="en-US"/>
        </w:rPr>
        <w:t xml:space="preserve"> route </w:t>
      </w:r>
      <w:r w:rsidRPr="00081633">
        <w:rPr>
          <w:rFonts w:asciiTheme="minorHAnsi" w:eastAsia="Arial" w:hAnsiTheme="minorHAnsi" w:cstheme="minorHAnsi"/>
          <w:color w:val="000000" w:themeColor="text1"/>
          <w:w w:val="105"/>
          <w:lang w:val="en-US"/>
        </w:rPr>
        <w:t>from gas to renewable electricity</w:t>
      </w:r>
      <w:r>
        <w:rPr>
          <w:rFonts w:asciiTheme="minorHAnsi" w:eastAsia="Arial" w:hAnsiTheme="minorHAnsi" w:cstheme="minorHAnsi"/>
          <w:color w:val="000000" w:themeColor="text1"/>
          <w:w w:val="105"/>
          <w:lang w:val="en-US"/>
        </w:rPr>
        <w:t>.  Neighbourhood P</w:t>
      </w:r>
      <w:r w:rsidRPr="00081633">
        <w:rPr>
          <w:rFonts w:asciiTheme="minorHAnsi" w:eastAsia="Arial" w:hAnsiTheme="minorHAnsi" w:cstheme="minorHAnsi"/>
          <w:color w:val="000000" w:themeColor="text1"/>
          <w:w w:val="105"/>
          <w:lang w:val="en-US"/>
        </w:rPr>
        <w:t>lans would not</w:t>
      </w:r>
      <w:r>
        <w:rPr>
          <w:rFonts w:asciiTheme="minorHAnsi" w:eastAsia="Arial" w:hAnsiTheme="minorHAnsi" w:cstheme="minorHAnsi"/>
          <w:color w:val="000000" w:themeColor="text1"/>
          <w:w w:val="105"/>
          <w:lang w:val="en-US"/>
        </w:rPr>
        <w:t>, indeed could not,</w:t>
      </w:r>
      <w:r w:rsidRPr="00081633">
        <w:rPr>
          <w:rFonts w:asciiTheme="minorHAnsi" w:eastAsia="Arial" w:hAnsiTheme="minorHAnsi" w:cstheme="minorHAnsi"/>
          <w:color w:val="000000" w:themeColor="text1"/>
          <w:w w:val="105"/>
          <w:lang w:val="en-US"/>
        </w:rPr>
        <w:t xml:space="preserve"> produce the renewable potential required to follow the pathway to zero carbon, set in the Climate Change Act 2008, as updated.  For this reason the policy is unsound</w:t>
      </w:r>
      <w:r>
        <w:rPr>
          <w:rFonts w:asciiTheme="minorHAnsi" w:eastAsia="Arial" w:hAnsiTheme="minorHAnsi" w:cstheme="minorHAnsi"/>
          <w:color w:val="000000" w:themeColor="text1"/>
          <w:w w:val="105"/>
          <w:lang w:val="en-US"/>
        </w:rPr>
        <w:t>.</w:t>
      </w:r>
    </w:p>
    <w:p w:rsidR="009E0C85" w:rsidRPr="006E7388" w:rsidRDefault="009E0C85" w:rsidP="009E0C85">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rPr>
      </w:pPr>
      <w:r>
        <w:rPr>
          <w:rFonts w:asciiTheme="minorHAnsi" w:hAnsiTheme="minorHAnsi" w:cstheme="minorHAnsi"/>
          <w:color w:val="000000" w:themeColor="text1"/>
          <w:w w:val="105"/>
        </w:rPr>
        <w:t>W</w:t>
      </w:r>
      <w:r w:rsidRPr="006E7388">
        <w:rPr>
          <w:rFonts w:asciiTheme="minorHAnsi" w:hAnsiTheme="minorHAnsi" w:cstheme="minorHAnsi"/>
          <w:color w:val="000000" w:themeColor="text1"/>
          <w:w w:val="105"/>
        </w:rPr>
        <w:t xml:space="preserve">ork </w:t>
      </w:r>
      <w:r>
        <w:rPr>
          <w:rFonts w:asciiTheme="minorHAnsi" w:hAnsiTheme="minorHAnsi" w:cstheme="minorHAnsi"/>
          <w:color w:val="000000" w:themeColor="text1"/>
          <w:w w:val="105"/>
        </w:rPr>
        <w:t xml:space="preserve">is required </w:t>
      </w:r>
      <w:r w:rsidRPr="006E7388">
        <w:rPr>
          <w:rFonts w:asciiTheme="minorHAnsi" w:hAnsiTheme="minorHAnsi" w:cstheme="minorHAnsi"/>
          <w:color w:val="000000" w:themeColor="text1"/>
          <w:w w:val="105"/>
        </w:rPr>
        <w:t xml:space="preserve">to be done to map and identify the deployable renewable energy resources </w:t>
      </w:r>
      <w:r>
        <w:rPr>
          <w:rFonts w:asciiTheme="minorHAnsi" w:hAnsiTheme="minorHAnsi" w:cstheme="minorHAnsi"/>
          <w:color w:val="000000" w:themeColor="text1"/>
          <w:w w:val="105"/>
        </w:rPr>
        <w:t>in Shropshire</w:t>
      </w:r>
      <w:r w:rsidRPr="004A6270">
        <w:rPr>
          <w:rFonts w:asciiTheme="minorHAnsi" w:hAnsiTheme="minorHAnsi" w:cstheme="minorHAnsi"/>
          <w:color w:val="000000" w:themeColor="text1"/>
          <w:w w:val="105"/>
        </w:rPr>
        <w:t xml:space="preserve"> </w:t>
      </w:r>
      <w:r>
        <w:rPr>
          <w:rFonts w:asciiTheme="minorHAnsi" w:hAnsiTheme="minorHAnsi" w:cstheme="minorHAnsi"/>
          <w:color w:val="000000" w:themeColor="text1"/>
          <w:w w:val="105"/>
        </w:rPr>
        <w:t xml:space="preserve">and to </w:t>
      </w:r>
      <w:r w:rsidRPr="00081633">
        <w:rPr>
          <w:rFonts w:asciiTheme="minorHAnsi" w:eastAsia="Arial" w:hAnsiTheme="minorHAnsi" w:cstheme="minorHAnsi"/>
          <w:color w:val="000000" w:themeColor="text1"/>
          <w:w w:val="105"/>
          <w:szCs w:val="24"/>
          <w:lang w:val="en-US"/>
        </w:rPr>
        <w:t xml:space="preserve">identify areas of search </w:t>
      </w:r>
      <w:r w:rsidRPr="006E7388">
        <w:rPr>
          <w:rFonts w:asciiTheme="minorHAnsi" w:hAnsiTheme="minorHAnsi" w:cstheme="minorHAnsi"/>
          <w:color w:val="000000" w:themeColor="text1"/>
          <w:w w:val="105"/>
        </w:rPr>
        <w:t>a</w:t>
      </w:r>
      <w:r>
        <w:rPr>
          <w:rFonts w:asciiTheme="minorHAnsi" w:hAnsiTheme="minorHAnsi" w:cstheme="minorHAnsi"/>
          <w:color w:val="000000" w:themeColor="text1"/>
          <w:w w:val="105"/>
        </w:rPr>
        <w:t xml:space="preserve">s required by NPPF </w:t>
      </w:r>
      <w:r w:rsidRPr="006E7388">
        <w:rPr>
          <w:rFonts w:asciiTheme="minorHAnsi" w:hAnsiTheme="minorHAnsi" w:cstheme="minorHAnsi"/>
          <w:color w:val="000000" w:themeColor="text1"/>
          <w:w w:val="105"/>
        </w:rPr>
        <w:t>para</w:t>
      </w:r>
      <w:r w:rsidRPr="006E7388">
        <w:rPr>
          <w:rFonts w:asciiTheme="minorHAnsi" w:hAnsiTheme="minorHAnsi" w:cstheme="minorHAnsi"/>
          <w:color w:val="000000" w:themeColor="text1"/>
          <w:spacing w:val="-36"/>
          <w:w w:val="105"/>
        </w:rPr>
        <w:t xml:space="preserve"> </w:t>
      </w:r>
      <w:r>
        <w:rPr>
          <w:rFonts w:asciiTheme="minorHAnsi" w:hAnsiTheme="minorHAnsi" w:cstheme="minorHAnsi"/>
          <w:color w:val="000000" w:themeColor="text1"/>
          <w:w w:val="105"/>
        </w:rPr>
        <w:t xml:space="preserve">151b </w:t>
      </w:r>
      <w:r>
        <w:rPr>
          <w:rFonts w:asciiTheme="minorHAnsi" w:eastAsia="Arial" w:hAnsiTheme="minorHAnsi" w:cstheme="minorHAnsi"/>
          <w:color w:val="000000" w:themeColor="text1"/>
          <w:w w:val="105"/>
          <w:szCs w:val="24"/>
          <w:lang w:val="en-US"/>
        </w:rPr>
        <w:t>and</w:t>
      </w:r>
      <w:r w:rsidRPr="00081633">
        <w:rPr>
          <w:rFonts w:asciiTheme="minorHAnsi" w:eastAsia="Arial" w:hAnsiTheme="minorHAnsi" w:cstheme="minorHAnsi"/>
          <w:color w:val="000000" w:themeColor="text1"/>
          <w:w w:val="105"/>
          <w:szCs w:val="24"/>
          <w:lang w:val="en-US"/>
        </w:rPr>
        <w:t xml:space="preserve"> </w:t>
      </w:r>
      <w:r>
        <w:rPr>
          <w:rFonts w:asciiTheme="minorHAnsi" w:eastAsia="Arial" w:hAnsiTheme="minorHAnsi" w:cstheme="minorHAnsi"/>
          <w:color w:val="000000" w:themeColor="text1"/>
          <w:w w:val="105"/>
          <w:szCs w:val="24"/>
          <w:lang w:val="en-US"/>
        </w:rPr>
        <w:t xml:space="preserve">as </w:t>
      </w:r>
      <w:r w:rsidRPr="00B72D4C">
        <w:rPr>
          <w:rFonts w:asciiTheme="minorHAnsi" w:hAnsiTheme="minorHAnsi" w:cstheme="minorHAnsi"/>
          <w:color w:val="000000" w:themeColor="text1"/>
          <w:w w:val="105"/>
        </w:rPr>
        <w:t>in Planning practice guidance for renewable and low carbon energy</w:t>
      </w:r>
      <w:r>
        <w:rPr>
          <w:rStyle w:val="FootnoteReference"/>
          <w:rFonts w:asciiTheme="minorHAnsi" w:eastAsia="Arial" w:hAnsiTheme="minorHAnsi" w:cstheme="minorHAnsi"/>
          <w:color w:val="000000" w:themeColor="text1"/>
          <w:w w:val="105"/>
          <w:szCs w:val="24"/>
          <w:lang w:val="en-US"/>
        </w:rPr>
        <w:t xml:space="preserve"> </w:t>
      </w:r>
      <w:r>
        <w:rPr>
          <w:rStyle w:val="FootnoteReference"/>
          <w:rFonts w:asciiTheme="minorHAnsi" w:eastAsia="Arial" w:hAnsiTheme="minorHAnsi" w:cstheme="minorHAnsi"/>
          <w:color w:val="000000" w:themeColor="text1"/>
          <w:w w:val="105"/>
          <w:szCs w:val="24"/>
          <w:lang w:val="en-US"/>
        </w:rPr>
        <w:footnoteReference w:id="27"/>
      </w:r>
      <w:r>
        <w:rPr>
          <w:rFonts w:asciiTheme="minorHAnsi" w:eastAsia="Arial" w:hAnsiTheme="minorHAnsi" w:cstheme="minorHAnsi"/>
          <w:color w:val="000000" w:themeColor="text1"/>
          <w:w w:val="105"/>
          <w:szCs w:val="24"/>
          <w:lang w:val="en-US"/>
        </w:rPr>
        <w:t>.</w:t>
      </w:r>
    </w:p>
    <w:p w:rsidR="009E0C85" w:rsidRPr="006E7388" w:rsidRDefault="009E0C85" w:rsidP="009E0C85">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sz w:val="23"/>
        </w:rPr>
      </w:pPr>
      <w:r>
        <w:rPr>
          <w:rFonts w:asciiTheme="minorHAnsi" w:eastAsia="Arial" w:hAnsiTheme="minorHAnsi" w:cstheme="minorHAnsi"/>
          <w:color w:val="000000" w:themeColor="text1"/>
          <w:w w:val="105"/>
          <w:szCs w:val="24"/>
          <w:lang w:val="en-US"/>
        </w:rPr>
        <w:t>There should be encouragement for solar PV</w:t>
      </w:r>
      <w:r w:rsidR="005F5F62">
        <w:rPr>
          <w:rFonts w:asciiTheme="minorHAnsi" w:eastAsia="Arial" w:hAnsiTheme="minorHAnsi" w:cstheme="minorHAnsi"/>
          <w:color w:val="000000" w:themeColor="text1"/>
          <w:w w:val="105"/>
          <w:szCs w:val="24"/>
          <w:lang w:val="en-US"/>
        </w:rPr>
        <w:t xml:space="preserve"> to be retro-fitted to the roof</w:t>
      </w:r>
      <w:r>
        <w:rPr>
          <w:rFonts w:asciiTheme="minorHAnsi" w:eastAsia="Arial" w:hAnsiTheme="minorHAnsi" w:cstheme="minorHAnsi"/>
          <w:color w:val="000000" w:themeColor="text1"/>
          <w:w w:val="105"/>
          <w:szCs w:val="24"/>
          <w:lang w:val="en-US"/>
        </w:rPr>
        <w:t>s of existing industrial buildings, a re</w:t>
      </w:r>
      <w:r w:rsidR="005F5F62">
        <w:rPr>
          <w:rFonts w:asciiTheme="minorHAnsi" w:eastAsia="Arial" w:hAnsiTheme="minorHAnsi" w:cstheme="minorHAnsi"/>
          <w:color w:val="000000" w:themeColor="text1"/>
          <w:w w:val="105"/>
          <w:szCs w:val="24"/>
          <w:lang w:val="en-US"/>
        </w:rPr>
        <w:t>quirement to fit it to the roof</w:t>
      </w:r>
      <w:r>
        <w:rPr>
          <w:rFonts w:asciiTheme="minorHAnsi" w:eastAsia="Arial" w:hAnsiTheme="minorHAnsi" w:cstheme="minorHAnsi"/>
          <w:color w:val="000000" w:themeColor="text1"/>
          <w:w w:val="105"/>
          <w:szCs w:val="24"/>
          <w:lang w:val="en-US"/>
        </w:rPr>
        <w:t>s of all new industrial buildings, and encouragement of other measures for development to generate renewable electricity on-site, as envisaged by NPPF para 151c.</w:t>
      </w:r>
    </w:p>
    <w:p w:rsidR="009E0C85" w:rsidRPr="00B72D4C" w:rsidRDefault="009E0C85" w:rsidP="009E0C85">
      <w:pPr>
        <w:pStyle w:val="ListParagraph"/>
        <w:numPr>
          <w:ilvl w:val="1"/>
          <w:numId w:val="1"/>
        </w:numPr>
        <w:spacing w:before="240" w:line="300" w:lineRule="auto"/>
        <w:ind w:left="0" w:hanging="567"/>
        <w:contextualSpacing w:val="0"/>
        <w:textAlignment w:val="baseline"/>
        <w:rPr>
          <w:rFonts w:ascii="ArialMT" w:eastAsia="ArialMT" w:hAnsiTheme="minorHAnsi" w:cs="ArialMT"/>
        </w:rPr>
      </w:pPr>
      <w:r>
        <w:rPr>
          <w:rFonts w:asciiTheme="minorHAnsi" w:hAnsiTheme="minorHAnsi" w:cstheme="minorHAnsi"/>
          <w:color w:val="000000" w:themeColor="text1"/>
          <w:w w:val="105"/>
        </w:rPr>
        <w:t>There should also be</w:t>
      </w:r>
      <w:r w:rsidRPr="006E7388">
        <w:rPr>
          <w:rFonts w:asciiTheme="minorHAnsi" w:hAnsiTheme="minorHAnsi" w:cstheme="minorHAnsi"/>
          <w:color w:val="000000" w:themeColor="text1"/>
          <w:w w:val="105"/>
        </w:rPr>
        <w:t xml:space="preserve"> specific encouragement </w:t>
      </w:r>
      <w:r>
        <w:rPr>
          <w:rFonts w:asciiTheme="minorHAnsi" w:hAnsiTheme="minorHAnsi" w:cstheme="minorHAnsi"/>
          <w:color w:val="000000" w:themeColor="text1"/>
          <w:w w:val="105"/>
        </w:rPr>
        <w:t>for</w:t>
      </w:r>
      <w:r w:rsidRPr="006E7388">
        <w:rPr>
          <w:rFonts w:asciiTheme="minorHAnsi" w:hAnsiTheme="minorHAnsi" w:cstheme="minorHAnsi"/>
          <w:color w:val="000000" w:themeColor="text1"/>
          <w:w w:val="105"/>
        </w:rPr>
        <w:t xml:space="preserve"> community</w:t>
      </w:r>
      <w:r>
        <w:rPr>
          <w:rFonts w:asciiTheme="minorHAnsi" w:hAnsiTheme="minorHAnsi" w:cstheme="minorHAnsi"/>
          <w:color w:val="000000" w:themeColor="text1"/>
          <w:w w:val="105"/>
        </w:rPr>
        <w:t>-led</w:t>
      </w:r>
      <w:r w:rsidRPr="006E7388">
        <w:rPr>
          <w:rFonts w:asciiTheme="minorHAnsi" w:hAnsiTheme="minorHAnsi" w:cstheme="minorHAnsi"/>
          <w:color w:val="000000" w:themeColor="text1"/>
          <w:w w:val="105"/>
        </w:rPr>
        <w:t xml:space="preserve"> </w:t>
      </w:r>
      <w:r>
        <w:rPr>
          <w:rFonts w:asciiTheme="minorHAnsi" w:hAnsiTheme="minorHAnsi" w:cstheme="minorHAnsi"/>
          <w:color w:val="000000" w:themeColor="text1"/>
          <w:w w:val="105"/>
        </w:rPr>
        <w:t xml:space="preserve">initiatives </w:t>
      </w:r>
      <w:r w:rsidRPr="00B72D4C">
        <w:rPr>
          <w:rFonts w:asciiTheme="minorHAnsi" w:hAnsiTheme="minorHAnsi" w:cstheme="minorHAnsi"/>
          <w:color w:val="000000" w:themeColor="text1"/>
          <w:w w:val="105"/>
        </w:rPr>
        <w:t>for renewable and low carbon energy</w:t>
      </w:r>
      <w:r>
        <w:rPr>
          <w:rFonts w:asciiTheme="minorHAnsi" w:hAnsiTheme="minorHAnsi" w:cstheme="minorHAnsi"/>
          <w:color w:val="000000" w:themeColor="text1"/>
          <w:w w:val="105"/>
        </w:rPr>
        <w:t xml:space="preserve"> as required by NPPF para 152.</w:t>
      </w:r>
    </w:p>
    <w:p w:rsidR="009E0C85" w:rsidRPr="00B72D4C" w:rsidRDefault="009E0C85" w:rsidP="009E0C85">
      <w:pPr>
        <w:pStyle w:val="ListParagraph"/>
        <w:numPr>
          <w:ilvl w:val="1"/>
          <w:numId w:val="1"/>
        </w:numPr>
        <w:spacing w:before="240" w:line="300" w:lineRule="auto"/>
        <w:ind w:left="0" w:hanging="567"/>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For all these reasons, t</w:t>
      </w:r>
      <w:r w:rsidRPr="00081633">
        <w:rPr>
          <w:rFonts w:asciiTheme="minorHAnsi" w:eastAsia="Arial" w:hAnsiTheme="minorHAnsi" w:cstheme="minorHAnsi"/>
          <w:color w:val="000000" w:themeColor="text1"/>
          <w:w w:val="105"/>
          <w:szCs w:val="24"/>
          <w:lang w:val="en-US"/>
        </w:rPr>
        <w:t xml:space="preserve">he policy </w:t>
      </w:r>
      <w:r>
        <w:rPr>
          <w:rFonts w:asciiTheme="minorHAnsi" w:eastAsia="Arial" w:hAnsiTheme="minorHAnsi" w:cstheme="minorHAnsi"/>
          <w:color w:val="000000" w:themeColor="text1"/>
          <w:w w:val="105"/>
          <w:szCs w:val="24"/>
          <w:lang w:val="en-US"/>
        </w:rPr>
        <w:t xml:space="preserve">as drafted </w:t>
      </w:r>
      <w:r w:rsidRPr="00081633">
        <w:rPr>
          <w:rFonts w:asciiTheme="minorHAnsi" w:eastAsia="Arial" w:hAnsiTheme="minorHAnsi" w:cstheme="minorHAnsi"/>
          <w:color w:val="000000" w:themeColor="text1"/>
          <w:w w:val="105"/>
          <w:szCs w:val="24"/>
          <w:lang w:val="en-US"/>
        </w:rPr>
        <w:t xml:space="preserve">is </w:t>
      </w:r>
      <w:r>
        <w:rPr>
          <w:rFonts w:asciiTheme="minorHAnsi" w:eastAsia="Arial" w:hAnsiTheme="minorHAnsi" w:cstheme="minorHAnsi"/>
          <w:color w:val="000000" w:themeColor="text1"/>
          <w:w w:val="105"/>
          <w:szCs w:val="24"/>
          <w:lang w:val="en-US"/>
        </w:rPr>
        <w:t>unsound.</w:t>
      </w:r>
    </w:p>
    <w:p w:rsidR="009E0C85" w:rsidRPr="00635474" w:rsidRDefault="009E0C85" w:rsidP="00650C0E">
      <w:pPr>
        <w:pStyle w:val="Heading2"/>
        <w:keepNext w:val="0"/>
        <w:spacing w:before="120" w:after="120"/>
        <w:rPr>
          <w:rFonts w:asciiTheme="minorHAnsi" w:hAnsiTheme="minorHAnsi" w:cstheme="minorHAnsi"/>
          <w:b/>
          <w:i/>
          <w:color w:val="0070C0"/>
          <w:sz w:val="28"/>
          <w:szCs w:val="28"/>
          <w:lang w:eastAsia="en-GB"/>
        </w:rPr>
      </w:pPr>
      <w:bookmarkStart w:id="49" w:name="_Toc65242935"/>
      <w:r w:rsidRPr="005307CB">
        <w:rPr>
          <w:rFonts w:asciiTheme="minorHAnsi" w:hAnsiTheme="minorHAnsi" w:cstheme="minorHAnsi"/>
          <w:b/>
          <w:i/>
          <w:color w:val="0070C0"/>
          <w:sz w:val="28"/>
          <w:szCs w:val="28"/>
          <w:lang w:eastAsia="en-GB"/>
        </w:rPr>
        <w:t>Modification(s) considered necessary</w:t>
      </w:r>
      <w:bookmarkEnd w:id="49"/>
    </w:p>
    <w:p w:rsidR="009E0C85" w:rsidRPr="00650C0E" w:rsidRDefault="009E0C85" w:rsidP="00650C0E">
      <w:pPr>
        <w:pStyle w:val="ListParagraph"/>
        <w:widowControl w:val="0"/>
        <w:numPr>
          <w:ilvl w:val="1"/>
          <w:numId w:val="1"/>
        </w:numPr>
        <w:autoSpaceDE w:val="0"/>
        <w:autoSpaceDN w:val="0"/>
        <w:spacing w:before="240" w:line="314" w:lineRule="auto"/>
        <w:ind w:left="0" w:right="-188" w:hanging="567"/>
        <w:contextualSpacing w:val="0"/>
        <w:textAlignment w:val="baseline"/>
        <w:rPr>
          <w:rFonts w:ascii="Verdana" w:hAnsi="Verdana" w:cs="Arial"/>
          <w:sz w:val="20"/>
        </w:rPr>
      </w:pPr>
      <w:r w:rsidRPr="003E4880">
        <w:rPr>
          <w:rFonts w:asciiTheme="minorHAnsi" w:eastAsia="Arial" w:hAnsiTheme="minorHAnsi" w:cstheme="minorHAnsi"/>
          <w:color w:val="000000" w:themeColor="text1"/>
          <w:w w:val="105"/>
          <w:szCs w:val="24"/>
          <w:lang w:val="en-US"/>
        </w:rPr>
        <w:t>T</w:t>
      </w:r>
      <w:r>
        <w:rPr>
          <w:rFonts w:asciiTheme="minorHAnsi" w:eastAsia="Arial" w:hAnsiTheme="minorHAnsi" w:cstheme="minorHAnsi"/>
          <w:color w:val="000000" w:themeColor="text1"/>
          <w:w w:val="105"/>
          <w:szCs w:val="24"/>
          <w:lang w:val="en-US"/>
        </w:rPr>
        <w:t>he</w:t>
      </w:r>
      <w:r w:rsidRPr="003E4880">
        <w:rPr>
          <w:rFonts w:ascii="Verdana" w:hAnsi="Verdana" w:cs="Arial"/>
          <w:sz w:val="20"/>
        </w:rPr>
        <w:t xml:space="preserve"> </w:t>
      </w:r>
      <w:r>
        <w:rPr>
          <w:rFonts w:ascii="Verdana" w:hAnsi="Verdana" w:cs="Arial"/>
          <w:sz w:val="20"/>
        </w:rPr>
        <w:t>Plan should be referred back for further consideration and consultation of Policy DP26.</w:t>
      </w:r>
      <w:r w:rsidR="00650C0E">
        <w:rPr>
          <w:rFonts w:ascii="Verdana" w:hAnsi="Verdana" w:cs="Arial"/>
          <w:sz w:val="20"/>
        </w:rPr>
        <w:br w:type="page"/>
      </w:r>
    </w:p>
    <w:p w:rsidR="00BF0068" w:rsidRPr="00862910" w:rsidRDefault="00BF0068" w:rsidP="00BF0068">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50" w:name="_Toc65242936"/>
      <w:r>
        <w:rPr>
          <w:rFonts w:asciiTheme="minorHAnsi" w:hAnsiTheme="minorHAnsi" w:cstheme="minorHAnsi"/>
          <w:b/>
          <w:color w:val="0070C0"/>
          <w:sz w:val="36"/>
          <w:szCs w:val="36"/>
          <w:lang w:eastAsia="en-GB"/>
        </w:rPr>
        <w:lastRenderedPageBreak/>
        <w:t>DP28 Communications and Transport</w:t>
      </w:r>
      <w:bookmarkEnd w:id="50"/>
    </w:p>
    <w:p w:rsidR="00BF0068" w:rsidRPr="00FE2663" w:rsidRDefault="00BF0068" w:rsidP="00BF0068">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BF0068" w:rsidRPr="00FE2663" w:rsidRDefault="00BF0068" w:rsidP="00BF0068">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BF0068" w:rsidRPr="00A17498" w:rsidTr="00CF1499">
        <w:trPr>
          <w:trHeight w:val="283"/>
        </w:trPr>
        <w:tc>
          <w:tcPr>
            <w:tcW w:w="567" w:type="dxa"/>
            <w:tcBorders>
              <w:right w:val="single" w:sz="4" w:space="0" w:color="auto"/>
            </w:tcBorders>
            <w:vAlign w:val="center"/>
          </w:tcPr>
          <w:p w:rsidR="00BF0068" w:rsidRPr="00A17498" w:rsidRDefault="00BF0068" w:rsidP="00CF149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BF0068" w:rsidRPr="001251D0" w:rsidRDefault="00BF0068" w:rsidP="00CF149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BF0068" w:rsidRPr="00A17498" w:rsidRDefault="00BF0068" w:rsidP="00BF006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BF0068" w:rsidRPr="00A17498" w:rsidTr="00CF1499">
        <w:trPr>
          <w:trHeight w:val="283"/>
        </w:trPr>
        <w:tc>
          <w:tcPr>
            <w:tcW w:w="1134" w:type="dxa"/>
            <w:tcBorders>
              <w:top w:val="nil"/>
              <w:left w:val="nil"/>
              <w:bottom w:val="nil"/>
              <w:right w:val="single" w:sz="4" w:space="0" w:color="auto"/>
            </w:tcBorders>
            <w:vAlign w:val="center"/>
          </w:tcPr>
          <w:p w:rsidR="00BF0068" w:rsidRPr="00A17498" w:rsidRDefault="00BF0068" w:rsidP="00CF149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BF0068" w:rsidRPr="00A17498" w:rsidRDefault="00BF0068" w:rsidP="00CF149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BF0068" w:rsidRPr="00A17498" w:rsidRDefault="00BF0068" w:rsidP="00CF149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BF0068" w:rsidRPr="00A17498" w:rsidRDefault="00BF0068" w:rsidP="00CF1499">
            <w:pPr>
              <w:pStyle w:val="BodyText"/>
              <w:spacing w:after="0"/>
              <w:rPr>
                <w:rFonts w:asciiTheme="minorHAnsi" w:hAnsiTheme="minorHAnsi" w:cstheme="minorHAnsi"/>
              </w:rPr>
            </w:pPr>
            <w:r>
              <w:rPr>
                <w:rFonts w:asciiTheme="minorHAnsi" w:hAnsiTheme="minorHAnsi" w:cstheme="minorHAnsi"/>
              </w:rPr>
              <w:t>DP28</w:t>
            </w:r>
          </w:p>
        </w:tc>
      </w:tr>
    </w:tbl>
    <w:p w:rsidR="00BF0068" w:rsidRPr="00A17498" w:rsidRDefault="00BF0068" w:rsidP="00BF006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BF0068" w:rsidTr="00CF1499">
        <w:trPr>
          <w:trHeight w:val="283"/>
        </w:trPr>
        <w:tc>
          <w:tcPr>
            <w:tcW w:w="4820" w:type="dxa"/>
            <w:tcBorders>
              <w:top w:val="nil"/>
              <w:left w:val="nil"/>
              <w:bottom w:val="nil"/>
              <w:right w:val="nil"/>
            </w:tcBorders>
            <w:vAlign w:val="center"/>
          </w:tcPr>
          <w:p w:rsidR="00BF0068" w:rsidRPr="00882F68" w:rsidRDefault="00BF0068" w:rsidP="00CF1499">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nil"/>
              <w:left w:val="nil"/>
              <w:bottom w:val="nil"/>
              <w:right w:val="single" w:sz="4" w:space="0" w:color="auto"/>
            </w:tcBorders>
            <w:vAlign w:val="center"/>
          </w:tcPr>
          <w:p w:rsidR="00BF0068" w:rsidRDefault="00BF0068" w:rsidP="00CF1499">
            <w:pPr>
              <w:pStyle w:val="TableParagraph"/>
              <w:spacing w:before="42"/>
              <w:rPr>
                <w:sz w:val="20"/>
              </w:rPr>
            </w:pPr>
            <w:r>
              <w:rPr>
                <w:sz w:val="20"/>
              </w:rPr>
              <w:t>Yes:</w:t>
            </w:r>
          </w:p>
        </w:tc>
        <w:tc>
          <w:tcPr>
            <w:tcW w:w="567" w:type="dxa"/>
            <w:tcBorders>
              <w:left w:val="single" w:sz="4" w:space="0" w:color="auto"/>
              <w:right w:val="single" w:sz="4" w:space="0" w:color="auto"/>
            </w:tcBorders>
            <w:vAlign w:val="center"/>
          </w:tcPr>
          <w:p w:rsidR="00BF0068" w:rsidRPr="00A17498" w:rsidRDefault="00BF0068" w:rsidP="00CF1499">
            <w:pPr>
              <w:pStyle w:val="ListParagraph"/>
              <w:spacing w:after="0"/>
              <w:contextualSpacing w:val="0"/>
              <w:rPr>
                <w:rFonts w:asciiTheme="minorHAnsi" w:hAnsiTheme="minorHAnsi" w:cstheme="minorHAnsi"/>
                <w:b/>
              </w:rPr>
            </w:pPr>
          </w:p>
        </w:tc>
        <w:tc>
          <w:tcPr>
            <w:tcW w:w="993" w:type="dxa"/>
            <w:tcBorders>
              <w:top w:val="nil"/>
              <w:left w:val="single" w:sz="4" w:space="0" w:color="auto"/>
              <w:bottom w:val="nil"/>
              <w:right w:val="single" w:sz="4" w:space="0" w:color="auto"/>
            </w:tcBorders>
            <w:vAlign w:val="center"/>
          </w:tcPr>
          <w:p w:rsidR="00BF0068" w:rsidRDefault="00BF0068" w:rsidP="00CF1499">
            <w:pPr>
              <w:pStyle w:val="TableParagraph"/>
              <w:spacing w:before="42"/>
              <w:rPr>
                <w:sz w:val="20"/>
              </w:rPr>
            </w:pPr>
            <w:r>
              <w:rPr>
                <w:sz w:val="20"/>
              </w:rPr>
              <w:t>No:</w:t>
            </w:r>
          </w:p>
        </w:tc>
        <w:tc>
          <w:tcPr>
            <w:tcW w:w="567" w:type="dxa"/>
            <w:tcBorders>
              <w:left w:val="single" w:sz="4" w:space="0" w:color="auto"/>
            </w:tcBorders>
            <w:vAlign w:val="center"/>
          </w:tcPr>
          <w:p w:rsidR="00BF0068" w:rsidRPr="00A17498" w:rsidRDefault="00BF0068" w:rsidP="00CF1499">
            <w:pPr>
              <w:pStyle w:val="ListParagraph"/>
              <w:spacing w:after="0"/>
              <w:contextualSpacing w:val="0"/>
              <w:rPr>
                <w:rFonts w:asciiTheme="minorHAnsi" w:hAnsiTheme="minorHAnsi" w:cstheme="minorHAnsi"/>
                <w:b/>
              </w:rPr>
            </w:pPr>
            <w:r w:rsidRPr="0075063E">
              <w:rPr>
                <w:rFonts w:asciiTheme="minorHAnsi" w:hAnsiTheme="minorHAnsi" w:cstheme="minorHAnsi"/>
                <w:b/>
              </w:rPr>
              <w:t>√</w:t>
            </w:r>
          </w:p>
        </w:tc>
      </w:tr>
    </w:tbl>
    <w:p w:rsidR="00BF0068" w:rsidRPr="005307CB" w:rsidRDefault="00BF0068" w:rsidP="00BF0068">
      <w:pPr>
        <w:pStyle w:val="Heading2"/>
        <w:spacing w:before="240" w:after="120"/>
        <w:rPr>
          <w:rFonts w:asciiTheme="minorHAnsi" w:eastAsiaTheme="minorHAnsi" w:hAnsiTheme="minorHAnsi" w:cstheme="minorHAnsi"/>
          <w:b/>
          <w:i/>
          <w:color w:val="0070C0"/>
          <w:sz w:val="28"/>
          <w:szCs w:val="28"/>
          <w:lang w:eastAsia="en-GB"/>
        </w:rPr>
      </w:pPr>
      <w:bookmarkStart w:id="51" w:name="_Toc65242937"/>
      <w:r w:rsidRPr="005307CB">
        <w:rPr>
          <w:rFonts w:asciiTheme="minorHAnsi" w:eastAsiaTheme="minorHAnsi" w:hAnsiTheme="minorHAnsi" w:cstheme="minorHAnsi"/>
          <w:b/>
          <w:i/>
          <w:color w:val="0070C0"/>
          <w:sz w:val="28"/>
          <w:szCs w:val="28"/>
          <w:lang w:eastAsia="en-GB"/>
        </w:rPr>
        <w:t>Details</w:t>
      </w:r>
      <w:bookmarkEnd w:id="51"/>
    </w:p>
    <w:p w:rsidR="00947F6F" w:rsidRPr="00947F6F" w:rsidRDefault="00BF0068" w:rsidP="00947F6F">
      <w:pPr>
        <w:pStyle w:val="ListParagraph"/>
        <w:numPr>
          <w:ilvl w:val="1"/>
          <w:numId w:val="1"/>
        </w:numPr>
        <w:spacing w:before="240" w:line="300" w:lineRule="auto"/>
        <w:ind w:left="0" w:hanging="567"/>
        <w:contextualSpacing w:val="0"/>
        <w:textAlignment w:val="baseline"/>
        <w:rPr>
          <w:color w:val="214B7C"/>
          <w:w w:val="105"/>
        </w:rPr>
      </w:pPr>
      <w:r>
        <w:rPr>
          <w:rFonts w:asciiTheme="minorHAnsi" w:hAnsiTheme="minorHAnsi" w:cstheme="minorHAnsi"/>
          <w:color w:val="000000" w:themeColor="text1"/>
          <w:w w:val="105"/>
        </w:rPr>
        <w:t>T</w:t>
      </w:r>
      <w:r w:rsidRPr="006E7388">
        <w:rPr>
          <w:rFonts w:asciiTheme="minorHAnsi" w:hAnsiTheme="minorHAnsi" w:cstheme="minorHAnsi"/>
          <w:color w:val="000000" w:themeColor="text1"/>
          <w:w w:val="105"/>
        </w:rPr>
        <w:t xml:space="preserve">he policy is </w:t>
      </w:r>
      <w:r>
        <w:rPr>
          <w:rFonts w:asciiTheme="minorHAnsi" w:hAnsiTheme="minorHAnsi" w:cstheme="minorHAnsi"/>
          <w:color w:val="000000" w:themeColor="text1"/>
          <w:w w:val="105"/>
        </w:rPr>
        <w:t xml:space="preserve">not </w:t>
      </w:r>
      <w:r w:rsidRPr="00BF0068">
        <w:rPr>
          <w:rFonts w:asciiTheme="minorHAnsi" w:hAnsiTheme="minorHAnsi" w:cstheme="minorHAnsi"/>
          <w:color w:val="000000" w:themeColor="text1"/>
          <w:w w:val="105"/>
        </w:rPr>
        <w:t>ambitious enough in aligning</w:t>
      </w:r>
      <w:r>
        <w:rPr>
          <w:rFonts w:asciiTheme="minorHAnsi" w:hAnsiTheme="minorHAnsi" w:cstheme="minorHAnsi"/>
          <w:color w:val="000000" w:themeColor="text1"/>
          <w:w w:val="105"/>
        </w:rPr>
        <w:t xml:space="preserve"> with the C</w:t>
      </w:r>
      <w:r w:rsidRPr="00BF0068">
        <w:rPr>
          <w:rFonts w:asciiTheme="minorHAnsi" w:hAnsiTheme="minorHAnsi" w:cstheme="minorHAnsi"/>
          <w:color w:val="000000" w:themeColor="text1"/>
          <w:w w:val="105"/>
        </w:rPr>
        <w:t xml:space="preserve">ouncil's </w:t>
      </w:r>
      <w:r>
        <w:rPr>
          <w:rFonts w:asciiTheme="minorHAnsi" w:hAnsiTheme="minorHAnsi" w:cstheme="minorHAnsi"/>
          <w:color w:val="000000" w:themeColor="text1"/>
          <w:w w:val="105"/>
        </w:rPr>
        <w:t>declaration</w:t>
      </w:r>
      <w:r w:rsidRPr="00BF0068">
        <w:rPr>
          <w:rFonts w:asciiTheme="minorHAnsi" w:hAnsiTheme="minorHAnsi" w:cstheme="minorHAnsi"/>
          <w:color w:val="000000" w:themeColor="text1"/>
          <w:w w:val="105"/>
        </w:rPr>
        <w:t xml:space="preserve"> </w:t>
      </w:r>
      <w:r w:rsidR="00196CAD">
        <w:rPr>
          <w:rFonts w:asciiTheme="minorHAnsi" w:hAnsiTheme="minorHAnsi" w:cstheme="minorHAnsi"/>
          <w:color w:val="000000" w:themeColor="text1"/>
          <w:w w:val="105"/>
        </w:rPr>
        <w:t xml:space="preserve">of a </w:t>
      </w:r>
      <w:r w:rsidRPr="00BF0068">
        <w:rPr>
          <w:rFonts w:asciiTheme="minorHAnsi" w:hAnsiTheme="minorHAnsi" w:cstheme="minorHAnsi"/>
          <w:color w:val="000000" w:themeColor="text1"/>
          <w:w w:val="105"/>
        </w:rPr>
        <w:t xml:space="preserve">climate emergency </w:t>
      </w:r>
      <w:r w:rsidR="00196CAD">
        <w:rPr>
          <w:rFonts w:asciiTheme="minorHAnsi" w:hAnsiTheme="minorHAnsi" w:cstheme="minorHAnsi"/>
          <w:color w:val="000000" w:themeColor="text1"/>
          <w:w w:val="105"/>
        </w:rPr>
        <w:t>or with carbon reduction goals.  A report</w:t>
      </w:r>
      <w:r w:rsidR="00196CAD" w:rsidRPr="00196CAD">
        <w:rPr>
          <w:vertAlign w:val="superscript"/>
        </w:rPr>
        <w:footnoteReference w:id="28"/>
      </w:r>
      <w:r w:rsidR="00196CAD" w:rsidRPr="00196CAD">
        <w:rPr>
          <w:rFonts w:asciiTheme="minorHAnsi" w:hAnsiTheme="minorHAnsi" w:cstheme="minorHAnsi"/>
          <w:color w:val="000000" w:themeColor="text1"/>
          <w:w w:val="105"/>
          <w:vertAlign w:val="superscript"/>
        </w:rPr>
        <w:t xml:space="preserve"> </w:t>
      </w:r>
      <w:r w:rsidR="00196CAD" w:rsidRPr="00196CAD">
        <w:rPr>
          <w:rFonts w:asciiTheme="minorHAnsi" w:hAnsiTheme="minorHAnsi" w:cstheme="minorHAnsi"/>
          <w:color w:val="000000" w:themeColor="text1"/>
          <w:w w:val="105"/>
        </w:rPr>
        <w:t>looking</w:t>
      </w:r>
      <w:r w:rsidRPr="00196CAD">
        <w:rPr>
          <w:rFonts w:asciiTheme="minorHAnsi" w:hAnsiTheme="minorHAnsi" w:cstheme="minorHAnsi"/>
          <w:color w:val="000000" w:themeColor="text1"/>
          <w:w w:val="105"/>
        </w:rPr>
        <w:t xml:space="preserve"> at the scale of mo</w:t>
      </w:r>
      <w:r w:rsidR="00196CAD" w:rsidRPr="00196CAD">
        <w:rPr>
          <w:rFonts w:asciiTheme="minorHAnsi" w:hAnsiTheme="minorHAnsi" w:cstheme="minorHAnsi"/>
          <w:color w:val="000000" w:themeColor="text1"/>
          <w:w w:val="105"/>
        </w:rPr>
        <w:t xml:space="preserve">dal shift and vehicle mileage </w:t>
      </w:r>
      <w:r w:rsidRPr="00196CAD">
        <w:rPr>
          <w:rFonts w:asciiTheme="minorHAnsi" w:hAnsiTheme="minorHAnsi" w:cstheme="minorHAnsi"/>
          <w:color w:val="000000" w:themeColor="text1"/>
          <w:w w:val="105"/>
        </w:rPr>
        <w:t>reductions n</w:t>
      </w:r>
      <w:r w:rsidR="00196CAD" w:rsidRPr="00196CAD">
        <w:rPr>
          <w:rFonts w:asciiTheme="minorHAnsi" w:hAnsiTheme="minorHAnsi" w:cstheme="minorHAnsi"/>
          <w:color w:val="000000" w:themeColor="text1"/>
          <w:w w:val="105"/>
        </w:rPr>
        <w:t>eeded to achieve</w:t>
      </w:r>
      <w:r w:rsidRPr="00196CAD">
        <w:rPr>
          <w:rFonts w:asciiTheme="minorHAnsi" w:hAnsiTheme="minorHAnsi" w:cstheme="minorHAnsi"/>
          <w:color w:val="000000" w:themeColor="text1"/>
          <w:w w:val="105"/>
        </w:rPr>
        <w:t xml:space="preserve"> net zero emissions in Bristol, found that in or</w:t>
      </w:r>
      <w:r w:rsidR="00196CAD" w:rsidRPr="00196CAD">
        <w:rPr>
          <w:rFonts w:asciiTheme="minorHAnsi" w:hAnsiTheme="minorHAnsi" w:cstheme="minorHAnsi"/>
          <w:color w:val="000000" w:themeColor="text1"/>
          <w:w w:val="105"/>
        </w:rPr>
        <w:t xml:space="preserve">der to achieve this objective, </w:t>
      </w:r>
      <w:r w:rsidRPr="00196CAD">
        <w:rPr>
          <w:rFonts w:asciiTheme="minorHAnsi" w:hAnsiTheme="minorHAnsi" w:cstheme="minorHAnsi"/>
          <w:color w:val="000000" w:themeColor="text1"/>
          <w:w w:val="105"/>
        </w:rPr>
        <w:t>a nearly 50% reduction in car miles and 40% reduction in van and lorry miles tra</w:t>
      </w:r>
      <w:r w:rsidR="00196CAD" w:rsidRPr="00196CAD">
        <w:rPr>
          <w:rFonts w:asciiTheme="minorHAnsi" w:hAnsiTheme="minorHAnsi" w:cstheme="minorHAnsi"/>
          <w:color w:val="000000" w:themeColor="text1"/>
          <w:w w:val="105"/>
        </w:rPr>
        <w:t>velled in the city is necessary</w:t>
      </w:r>
      <w:r w:rsidRPr="00196CAD">
        <w:rPr>
          <w:rFonts w:asciiTheme="minorHAnsi" w:hAnsiTheme="minorHAnsi" w:cstheme="minorHAnsi"/>
          <w:color w:val="000000" w:themeColor="text1"/>
          <w:w w:val="105"/>
        </w:rPr>
        <w:t>.</w:t>
      </w:r>
      <w:r w:rsidR="00196CAD">
        <w:rPr>
          <w:rFonts w:asciiTheme="minorHAnsi" w:hAnsiTheme="minorHAnsi" w:cstheme="minorHAnsi"/>
          <w:color w:val="000000" w:themeColor="text1"/>
          <w:w w:val="105"/>
        </w:rPr>
        <w:t xml:space="preserve"> </w:t>
      </w:r>
      <w:r w:rsidRPr="00196CAD">
        <w:rPr>
          <w:rFonts w:asciiTheme="minorHAnsi" w:hAnsiTheme="minorHAnsi" w:cstheme="minorHAnsi"/>
          <w:color w:val="000000" w:themeColor="text1"/>
          <w:w w:val="105"/>
        </w:rPr>
        <w:t xml:space="preserve"> This would be driven by a significant  effort to shift travel to  public transport, cycling, walking (to a modal split more like Amsterdam) and to reduce demand for vehicle use through behaviour and system change, including freight consolidation and use of cargo and e-bikes, car-clubs and 'mobility as a service' </w:t>
      </w:r>
      <w:r w:rsidR="00196CAD" w:rsidRPr="00196CAD">
        <w:rPr>
          <w:rFonts w:asciiTheme="minorHAnsi" w:hAnsiTheme="minorHAnsi" w:cstheme="minorHAnsi"/>
          <w:color w:val="000000" w:themeColor="text1"/>
          <w:w w:val="105"/>
        </w:rPr>
        <w:t>initiatives.</w:t>
      </w:r>
    </w:p>
    <w:p w:rsidR="00BF0068" w:rsidRPr="00947F6F" w:rsidRDefault="00BF0068" w:rsidP="00BF0068">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w w:val="105"/>
        </w:rPr>
      </w:pPr>
      <w:r w:rsidRPr="00947F6F">
        <w:rPr>
          <w:rFonts w:asciiTheme="minorHAnsi" w:hAnsiTheme="minorHAnsi" w:cstheme="minorHAnsi"/>
          <w:color w:val="000000" w:themeColor="text1"/>
          <w:w w:val="105"/>
        </w:rPr>
        <w:t xml:space="preserve">The </w:t>
      </w:r>
      <w:r w:rsidR="00947F6F">
        <w:rPr>
          <w:rFonts w:asciiTheme="minorHAnsi" w:hAnsiTheme="minorHAnsi" w:cstheme="minorHAnsi"/>
          <w:color w:val="000000" w:themeColor="text1"/>
          <w:w w:val="105"/>
        </w:rPr>
        <w:t>Committee on Climate C</w:t>
      </w:r>
      <w:r w:rsidRPr="00947F6F">
        <w:rPr>
          <w:rFonts w:asciiTheme="minorHAnsi" w:hAnsiTheme="minorHAnsi" w:cstheme="minorHAnsi"/>
          <w:color w:val="000000" w:themeColor="text1"/>
          <w:w w:val="105"/>
        </w:rPr>
        <w:t xml:space="preserve">hange </w:t>
      </w:r>
      <w:r w:rsidR="00947F6F">
        <w:rPr>
          <w:rFonts w:asciiTheme="minorHAnsi" w:hAnsiTheme="minorHAnsi" w:cstheme="minorHAnsi"/>
          <w:color w:val="000000" w:themeColor="text1"/>
          <w:w w:val="105"/>
        </w:rPr>
        <w:t>has</w:t>
      </w:r>
      <w:r w:rsidRPr="00947F6F">
        <w:rPr>
          <w:rFonts w:asciiTheme="minorHAnsi" w:hAnsiTheme="minorHAnsi" w:cstheme="minorHAnsi"/>
          <w:color w:val="000000" w:themeColor="text1"/>
          <w:w w:val="105"/>
        </w:rPr>
        <w:t xml:space="preserve"> come</w:t>
      </w:r>
      <w:r w:rsidR="00947F6F">
        <w:rPr>
          <w:rFonts w:asciiTheme="minorHAnsi" w:hAnsiTheme="minorHAnsi" w:cstheme="minorHAnsi"/>
          <w:color w:val="000000" w:themeColor="text1"/>
          <w:w w:val="105"/>
        </w:rPr>
        <w:t xml:space="preserve"> to broadly similar conclusions. They </w:t>
      </w:r>
      <w:r w:rsidR="00CF1499">
        <w:rPr>
          <w:rFonts w:asciiTheme="minorHAnsi" w:hAnsiTheme="minorHAnsi" w:cstheme="minorHAnsi"/>
          <w:color w:val="000000" w:themeColor="text1"/>
          <w:w w:val="105"/>
        </w:rPr>
        <w:t xml:space="preserve">also </w:t>
      </w:r>
      <w:r w:rsidR="00947F6F">
        <w:rPr>
          <w:rFonts w:asciiTheme="minorHAnsi" w:hAnsiTheme="minorHAnsi" w:cstheme="minorHAnsi"/>
          <w:color w:val="000000" w:themeColor="text1"/>
          <w:w w:val="105"/>
        </w:rPr>
        <w:t>say</w:t>
      </w:r>
      <w:r w:rsidR="00CF1499">
        <w:rPr>
          <w:rStyle w:val="FootnoteReference"/>
          <w:rFonts w:asciiTheme="minorHAnsi" w:hAnsiTheme="minorHAnsi" w:cstheme="minorHAnsi"/>
          <w:color w:val="000000" w:themeColor="text1"/>
          <w:w w:val="105"/>
        </w:rPr>
        <w:footnoteReference w:id="29"/>
      </w:r>
      <w:r w:rsidR="00947F6F">
        <w:rPr>
          <w:rFonts w:asciiTheme="minorHAnsi" w:hAnsiTheme="minorHAnsi" w:cstheme="minorHAnsi"/>
          <w:color w:val="000000" w:themeColor="text1"/>
          <w:w w:val="105"/>
        </w:rPr>
        <w:t xml:space="preserve"> that </w:t>
      </w:r>
      <w:r w:rsidR="00947F6F" w:rsidRPr="00CF1499">
        <w:rPr>
          <w:rFonts w:asciiTheme="minorHAnsi" w:hAnsiTheme="minorHAnsi" w:cstheme="minorHAnsi"/>
          <w:color w:val="000000" w:themeColor="text1"/>
          <w:w w:val="105"/>
        </w:rPr>
        <w:t>Local Authorities have a key role in reducing emissions and facilitating strategies to deliver decarbonisation and</w:t>
      </w:r>
      <w:r w:rsidR="00CF1499" w:rsidRPr="00CF1499">
        <w:rPr>
          <w:rFonts w:asciiTheme="minorHAnsi" w:hAnsiTheme="minorHAnsi" w:cstheme="minorHAnsi"/>
          <w:color w:val="000000" w:themeColor="text1"/>
          <w:w w:val="105"/>
        </w:rPr>
        <w:t xml:space="preserve"> in delivering a modal shift from cars to active and public transport.</w:t>
      </w:r>
    </w:p>
    <w:p w:rsidR="00BF0068" w:rsidRDefault="00CF1499" w:rsidP="00BF0068">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w w:val="105"/>
        </w:rPr>
      </w:pPr>
      <w:r w:rsidRPr="00CF1499">
        <w:rPr>
          <w:rFonts w:asciiTheme="minorHAnsi" w:hAnsiTheme="minorHAnsi" w:cstheme="minorHAnsi"/>
          <w:color w:val="000000" w:themeColor="text1"/>
          <w:w w:val="105"/>
        </w:rPr>
        <w:t xml:space="preserve">There may be less scope for </w:t>
      </w:r>
      <w:r>
        <w:rPr>
          <w:rFonts w:asciiTheme="minorHAnsi" w:hAnsiTheme="minorHAnsi" w:cstheme="minorHAnsi"/>
          <w:color w:val="000000" w:themeColor="text1"/>
          <w:w w:val="105"/>
        </w:rPr>
        <w:t>this in a largely rural county like Shropshire but the corollary of that is that development should be weighted more towards the urban centres, with the minimal amount being targeted at rural villages.</w:t>
      </w:r>
    </w:p>
    <w:p w:rsidR="00494783" w:rsidRDefault="00CF1499" w:rsidP="00494783">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w w:val="105"/>
        </w:rPr>
      </w:pPr>
      <w:r w:rsidRPr="00CF1499">
        <w:rPr>
          <w:rFonts w:asciiTheme="minorHAnsi" w:hAnsiTheme="minorHAnsi" w:cstheme="minorHAnsi"/>
          <w:color w:val="000000" w:themeColor="text1"/>
          <w:w w:val="105"/>
        </w:rPr>
        <w:t>A number of excellent transport policy documents have come out from central government in 2020, stressing greater am</w:t>
      </w:r>
      <w:r>
        <w:rPr>
          <w:rFonts w:asciiTheme="minorHAnsi" w:hAnsiTheme="minorHAnsi" w:cstheme="minorHAnsi"/>
          <w:color w:val="000000" w:themeColor="text1"/>
          <w:w w:val="105"/>
        </w:rPr>
        <w:t xml:space="preserve">bitions for cycling and walking, including one that states </w:t>
      </w:r>
      <w:r w:rsidRPr="00494783">
        <w:rPr>
          <w:rFonts w:asciiTheme="minorHAnsi" w:hAnsiTheme="minorHAnsi" w:cstheme="minorHAnsi"/>
          <w:i/>
          <w:color w:val="000000" w:themeColor="text1"/>
          <w:w w:val="105"/>
        </w:rPr>
        <w:t>“</w:t>
      </w:r>
      <w:r w:rsidR="00494783" w:rsidRPr="00494783">
        <w:rPr>
          <w:rFonts w:asciiTheme="minorHAnsi" w:hAnsiTheme="minorHAnsi" w:cstheme="minorHAnsi"/>
          <w:i/>
          <w:color w:val="000000" w:themeColor="text1"/>
          <w:w w:val="105"/>
        </w:rPr>
        <w:t>Cycling is or will become mass transit and must be treated as such. Routes must be designed for larger numbers of cyclists, for users of all abilities and disabilities”</w:t>
      </w:r>
      <w:r w:rsidR="00494783">
        <w:rPr>
          <w:rStyle w:val="FootnoteReference"/>
          <w:rFonts w:asciiTheme="minorHAnsi" w:hAnsiTheme="minorHAnsi" w:cstheme="minorHAnsi"/>
          <w:color w:val="000000" w:themeColor="text1"/>
          <w:w w:val="105"/>
        </w:rPr>
        <w:footnoteReference w:id="30"/>
      </w:r>
      <w:r w:rsidR="00494783" w:rsidRPr="00494783">
        <w:rPr>
          <w:rFonts w:asciiTheme="minorHAnsi" w:hAnsiTheme="minorHAnsi" w:cstheme="minorHAnsi"/>
          <w:color w:val="000000" w:themeColor="text1"/>
          <w:w w:val="105"/>
        </w:rPr>
        <w:t>.</w:t>
      </w:r>
    </w:p>
    <w:p w:rsidR="00494783" w:rsidRDefault="00494783" w:rsidP="00494783">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w w:val="105"/>
        </w:rPr>
      </w:pPr>
      <w:r w:rsidRPr="00494783">
        <w:rPr>
          <w:rFonts w:asciiTheme="minorHAnsi" w:hAnsiTheme="minorHAnsi" w:cstheme="minorHAnsi"/>
          <w:color w:val="000000" w:themeColor="text1"/>
          <w:w w:val="105"/>
        </w:rPr>
        <w:t>Such Government</w:t>
      </w:r>
      <w:r w:rsidR="00CF1499" w:rsidRPr="00494783">
        <w:rPr>
          <w:rFonts w:asciiTheme="minorHAnsi" w:hAnsiTheme="minorHAnsi" w:cstheme="minorHAnsi"/>
          <w:color w:val="000000" w:themeColor="text1"/>
          <w:w w:val="105"/>
        </w:rPr>
        <w:t xml:space="preserve"> documents </w:t>
      </w:r>
      <w:r w:rsidRPr="00494783">
        <w:rPr>
          <w:rFonts w:asciiTheme="minorHAnsi" w:hAnsiTheme="minorHAnsi" w:cstheme="minorHAnsi"/>
          <w:color w:val="000000" w:themeColor="text1"/>
          <w:w w:val="105"/>
        </w:rPr>
        <w:t xml:space="preserve">may not yet have </w:t>
      </w:r>
      <w:r w:rsidR="00CF1499" w:rsidRPr="00494783">
        <w:rPr>
          <w:rFonts w:asciiTheme="minorHAnsi" w:hAnsiTheme="minorHAnsi" w:cstheme="minorHAnsi"/>
          <w:color w:val="000000" w:themeColor="text1"/>
          <w:w w:val="105"/>
        </w:rPr>
        <w:t>filtered through into the planning system, but are a clear indication of the direction of government policy, and support a much more ambitious approach within Local Plans.</w:t>
      </w:r>
    </w:p>
    <w:p w:rsidR="00CF1499" w:rsidRPr="00494783" w:rsidRDefault="00CF1499" w:rsidP="00494783">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w w:val="105"/>
          <w:szCs w:val="24"/>
        </w:rPr>
      </w:pPr>
      <w:r w:rsidRPr="00494783">
        <w:rPr>
          <w:rFonts w:asciiTheme="minorHAnsi" w:hAnsiTheme="minorHAnsi" w:cstheme="minorHAnsi"/>
          <w:color w:val="000000" w:themeColor="text1"/>
          <w:w w:val="105"/>
          <w:szCs w:val="24"/>
        </w:rPr>
        <w:lastRenderedPageBreak/>
        <w:t>The RTPI</w:t>
      </w:r>
      <w:r w:rsidR="00494783">
        <w:rPr>
          <w:rStyle w:val="FootnoteReference"/>
          <w:rFonts w:asciiTheme="minorHAnsi" w:hAnsiTheme="minorHAnsi" w:cstheme="minorHAnsi"/>
          <w:color w:val="000000" w:themeColor="text1"/>
          <w:w w:val="105"/>
          <w:szCs w:val="24"/>
        </w:rPr>
        <w:footnoteReference w:id="31"/>
      </w:r>
      <w:r w:rsidRPr="00494783">
        <w:rPr>
          <w:rFonts w:asciiTheme="minorHAnsi" w:hAnsiTheme="minorHAnsi" w:cstheme="minorHAnsi"/>
          <w:color w:val="000000" w:themeColor="text1"/>
          <w:w w:val="105"/>
          <w:szCs w:val="24"/>
        </w:rPr>
        <w:t xml:space="preserve"> have advised that to align with the net zero commitment, local plans should:</w:t>
      </w:r>
    </w:p>
    <w:p w:rsidR="00494783" w:rsidRPr="00494783" w:rsidRDefault="00CF1499" w:rsidP="002427CD">
      <w:pPr>
        <w:pStyle w:val="ListParagraph"/>
        <w:widowControl w:val="0"/>
        <w:numPr>
          <w:ilvl w:val="0"/>
          <w:numId w:val="17"/>
        </w:numPr>
        <w:autoSpaceDE w:val="0"/>
        <w:autoSpaceDN w:val="0"/>
        <w:ind w:left="567" w:hanging="567"/>
        <w:contextualSpacing w:val="0"/>
        <w:rPr>
          <w:rFonts w:asciiTheme="minorHAnsi" w:hAnsiTheme="minorHAnsi" w:cstheme="minorHAnsi"/>
          <w:color w:val="000000" w:themeColor="text1"/>
          <w:szCs w:val="24"/>
        </w:rPr>
      </w:pPr>
      <w:r w:rsidRPr="00494783">
        <w:rPr>
          <w:rFonts w:asciiTheme="minorHAnsi" w:hAnsiTheme="minorHAnsi" w:cstheme="minorHAnsi"/>
          <w:color w:val="000000" w:themeColor="text1"/>
          <w:w w:val="105"/>
          <w:szCs w:val="24"/>
        </w:rPr>
        <w:t>set ambitious requirements for trip reduction, mode share targets and 'zero carbon'</w:t>
      </w:r>
      <w:r w:rsidRPr="00494783">
        <w:rPr>
          <w:rFonts w:asciiTheme="minorHAnsi" w:hAnsiTheme="minorHAnsi" w:cstheme="minorHAnsi"/>
          <w:color w:val="000000" w:themeColor="text1"/>
          <w:spacing w:val="46"/>
          <w:w w:val="105"/>
          <w:szCs w:val="24"/>
        </w:rPr>
        <w:t xml:space="preserve"> </w:t>
      </w:r>
      <w:r w:rsidRPr="00494783">
        <w:rPr>
          <w:rFonts w:asciiTheme="minorHAnsi" w:hAnsiTheme="minorHAnsi" w:cstheme="minorHAnsi"/>
          <w:color w:val="000000" w:themeColor="text1"/>
          <w:w w:val="105"/>
          <w:szCs w:val="24"/>
        </w:rPr>
        <w:t>outcomes</w:t>
      </w:r>
    </w:p>
    <w:p w:rsidR="00494783" w:rsidRPr="00494783" w:rsidRDefault="00CF1499" w:rsidP="002427CD">
      <w:pPr>
        <w:pStyle w:val="ListParagraph"/>
        <w:widowControl w:val="0"/>
        <w:numPr>
          <w:ilvl w:val="0"/>
          <w:numId w:val="17"/>
        </w:numPr>
        <w:autoSpaceDE w:val="0"/>
        <w:autoSpaceDN w:val="0"/>
        <w:ind w:left="567" w:hanging="567"/>
        <w:contextualSpacing w:val="0"/>
        <w:rPr>
          <w:rFonts w:asciiTheme="minorHAnsi" w:hAnsiTheme="minorHAnsi" w:cstheme="minorHAnsi"/>
          <w:color w:val="000000" w:themeColor="text1"/>
          <w:szCs w:val="24"/>
        </w:rPr>
      </w:pPr>
      <w:r w:rsidRPr="00494783">
        <w:rPr>
          <w:rFonts w:asciiTheme="minorHAnsi" w:hAnsiTheme="minorHAnsi" w:cstheme="minorHAnsi"/>
          <w:color w:val="000000" w:themeColor="text1"/>
          <w:w w:val="110"/>
          <w:szCs w:val="24"/>
        </w:rPr>
        <w:t>prioritise urban renewal that enables growth while reducing travel</w:t>
      </w:r>
      <w:r w:rsidRPr="00494783">
        <w:rPr>
          <w:rFonts w:asciiTheme="minorHAnsi" w:hAnsiTheme="minorHAnsi" w:cstheme="minorHAnsi"/>
          <w:color w:val="000000" w:themeColor="text1"/>
          <w:spacing w:val="-14"/>
          <w:w w:val="110"/>
          <w:szCs w:val="24"/>
        </w:rPr>
        <w:t xml:space="preserve"> </w:t>
      </w:r>
      <w:r w:rsidRPr="00494783">
        <w:rPr>
          <w:rFonts w:asciiTheme="minorHAnsi" w:hAnsiTheme="minorHAnsi" w:cstheme="minorHAnsi"/>
          <w:color w:val="000000" w:themeColor="text1"/>
          <w:w w:val="110"/>
          <w:szCs w:val="24"/>
        </w:rPr>
        <w:t>demand.</w:t>
      </w:r>
    </w:p>
    <w:p w:rsidR="00494783" w:rsidRPr="00494783" w:rsidRDefault="00CF1499" w:rsidP="002427CD">
      <w:pPr>
        <w:pStyle w:val="ListParagraph"/>
        <w:widowControl w:val="0"/>
        <w:numPr>
          <w:ilvl w:val="0"/>
          <w:numId w:val="17"/>
        </w:numPr>
        <w:autoSpaceDE w:val="0"/>
        <w:autoSpaceDN w:val="0"/>
        <w:ind w:left="567" w:hanging="567"/>
        <w:contextualSpacing w:val="0"/>
        <w:rPr>
          <w:rFonts w:asciiTheme="minorHAnsi" w:hAnsiTheme="minorHAnsi" w:cstheme="minorHAnsi"/>
          <w:color w:val="000000" w:themeColor="text1"/>
          <w:szCs w:val="24"/>
        </w:rPr>
      </w:pPr>
      <w:r w:rsidRPr="00494783">
        <w:rPr>
          <w:rFonts w:asciiTheme="minorHAnsi" w:hAnsiTheme="minorHAnsi" w:cstheme="minorHAnsi"/>
          <w:color w:val="000000" w:themeColor="text1"/>
          <w:w w:val="105"/>
          <w:szCs w:val="24"/>
        </w:rPr>
        <w:t>maximise the potential for local living so people can meet their needs by walking and</w:t>
      </w:r>
      <w:r w:rsidRPr="00494783">
        <w:rPr>
          <w:rFonts w:asciiTheme="minorHAnsi" w:hAnsiTheme="minorHAnsi" w:cstheme="minorHAnsi"/>
          <w:color w:val="000000" w:themeColor="text1"/>
          <w:spacing w:val="-11"/>
          <w:w w:val="105"/>
          <w:szCs w:val="24"/>
        </w:rPr>
        <w:t xml:space="preserve"> </w:t>
      </w:r>
      <w:r w:rsidRPr="00494783">
        <w:rPr>
          <w:rFonts w:asciiTheme="minorHAnsi" w:hAnsiTheme="minorHAnsi" w:cstheme="minorHAnsi"/>
          <w:color w:val="000000" w:themeColor="text1"/>
          <w:w w:val="105"/>
          <w:szCs w:val="24"/>
        </w:rPr>
        <w:t>cycling</w:t>
      </w:r>
    </w:p>
    <w:p w:rsidR="00CF1499" w:rsidRPr="00494783" w:rsidRDefault="00494783" w:rsidP="002427CD">
      <w:pPr>
        <w:pStyle w:val="ListParagraph"/>
        <w:widowControl w:val="0"/>
        <w:numPr>
          <w:ilvl w:val="0"/>
          <w:numId w:val="17"/>
        </w:numPr>
        <w:autoSpaceDE w:val="0"/>
        <w:autoSpaceDN w:val="0"/>
        <w:ind w:left="567" w:hanging="567"/>
        <w:contextualSpacing w:val="0"/>
        <w:rPr>
          <w:rFonts w:asciiTheme="minorHAnsi" w:hAnsiTheme="minorHAnsi" w:cstheme="minorHAnsi"/>
          <w:color w:val="000000" w:themeColor="text1"/>
          <w:szCs w:val="24"/>
        </w:rPr>
      </w:pPr>
      <w:r>
        <w:rPr>
          <w:rFonts w:asciiTheme="minorHAnsi" w:hAnsiTheme="minorHAnsi" w:cstheme="minorHAnsi"/>
          <w:color w:val="000000" w:themeColor="text1"/>
          <w:w w:val="105"/>
          <w:szCs w:val="24"/>
        </w:rPr>
        <w:t>a</w:t>
      </w:r>
      <w:r w:rsidR="00CF1499" w:rsidRPr="00494783">
        <w:rPr>
          <w:rFonts w:asciiTheme="minorHAnsi" w:hAnsiTheme="minorHAnsi" w:cstheme="minorHAnsi"/>
          <w:color w:val="000000" w:themeColor="text1"/>
          <w:w w:val="105"/>
          <w:szCs w:val="24"/>
        </w:rPr>
        <w:t>ll new development to be located and designed to generate zero transport</w:t>
      </w:r>
      <w:r w:rsidR="00CF1499" w:rsidRPr="00494783">
        <w:rPr>
          <w:rFonts w:asciiTheme="minorHAnsi" w:hAnsiTheme="minorHAnsi" w:cstheme="minorHAnsi"/>
          <w:color w:val="000000" w:themeColor="text1"/>
          <w:spacing w:val="22"/>
          <w:w w:val="105"/>
          <w:szCs w:val="24"/>
        </w:rPr>
        <w:t xml:space="preserve"> </w:t>
      </w:r>
      <w:r w:rsidR="00CF1499" w:rsidRPr="00494783">
        <w:rPr>
          <w:rFonts w:asciiTheme="minorHAnsi" w:hAnsiTheme="minorHAnsi" w:cstheme="minorHAnsi"/>
          <w:color w:val="000000" w:themeColor="text1"/>
          <w:w w:val="105"/>
          <w:szCs w:val="24"/>
        </w:rPr>
        <w:t>emissions</w:t>
      </w:r>
    </w:p>
    <w:p w:rsidR="00BF0068" w:rsidRPr="00635474" w:rsidRDefault="00BF0068" w:rsidP="009E0C85">
      <w:pPr>
        <w:pStyle w:val="Heading2"/>
        <w:keepNext w:val="0"/>
        <w:spacing w:before="240" w:after="120"/>
        <w:rPr>
          <w:rFonts w:asciiTheme="minorHAnsi" w:hAnsiTheme="minorHAnsi" w:cstheme="minorHAnsi"/>
          <w:b/>
          <w:i/>
          <w:color w:val="0070C0"/>
          <w:sz w:val="28"/>
          <w:szCs w:val="28"/>
          <w:lang w:eastAsia="en-GB"/>
        </w:rPr>
      </w:pPr>
      <w:bookmarkStart w:id="52" w:name="_Toc65242938"/>
      <w:r w:rsidRPr="005307CB">
        <w:rPr>
          <w:rFonts w:asciiTheme="minorHAnsi" w:hAnsiTheme="minorHAnsi" w:cstheme="minorHAnsi"/>
          <w:b/>
          <w:i/>
          <w:color w:val="0070C0"/>
          <w:sz w:val="28"/>
          <w:szCs w:val="28"/>
          <w:lang w:eastAsia="en-GB"/>
        </w:rPr>
        <w:t>Modification(s) considered necessary</w:t>
      </w:r>
      <w:bookmarkEnd w:id="52"/>
    </w:p>
    <w:p w:rsidR="0039262C" w:rsidRDefault="0039262C" w:rsidP="0039262C">
      <w:pPr>
        <w:pStyle w:val="ListParagraph"/>
        <w:numPr>
          <w:ilvl w:val="1"/>
          <w:numId w:val="1"/>
        </w:numPr>
        <w:spacing w:before="240" w:line="300" w:lineRule="auto"/>
        <w:ind w:left="0" w:hanging="567"/>
        <w:contextualSpacing w:val="0"/>
        <w:textAlignment w:val="baseline"/>
        <w:rPr>
          <w:rFonts w:asciiTheme="minorHAnsi" w:hAnsiTheme="minorHAnsi" w:cstheme="minorHAnsi"/>
          <w:color w:val="000000" w:themeColor="text1"/>
          <w:w w:val="105"/>
          <w:szCs w:val="24"/>
        </w:rPr>
      </w:pPr>
      <w:r>
        <w:rPr>
          <w:rFonts w:asciiTheme="minorHAnsi" w:hAnsiTheme="minorHAnsi" w:cstheme="minorHAnsi"/>
          <w:color w:val="000000" w:themeColor="text1"/>
          <w:w w:val="105"/>
          <w:szCs w:val="24"/>
        </w:rPr>
        <w:t>Some of this could be i</w:t>
      </w:r>
      <w:r w:rsidRPr="00494783">
        <w:rPr>
          <w:rFonts w:asciiTheme="minorHAnsi" w:hAnsiTheme="minorHAnsi" w:cstheme="minorHAnsi"/>
          <w:color w:val="000000" w:themeColor="text1"/>
          <w:w w:val="105"/>
          <w:szCs w:val="24"/>
        </w:rPr>
        <w:t>mmediately deliverable</w:t>
      </w:r>
      <w:r>
        <w:rPr>
          <w:rFonts w:asciiTheme="minorHAnsi" w:hAnsiTheme="minorHAnsi" w:cstheme="minorHAnsi"/>
          <w:color w:val="000000" w:themeColor="text1"/>
          <w:w w:val="105"/>
          <w:szCs w:val="24"/>
        </w:rPr>
        <w:t xml:space="preserve"> through a minor wording change.  W</w:t>
      </w:r>
      <w:r w:rsidRPr="00494783">
        <w:rPr>
          <w:rFonts w:asciiTheme="minorHAnsi" w:hAnsiTheme="minorHAnsi" w:cstheme="minorHAnsi"/>
          <w:color w:val="000000" w:themeColor="text1"/>
          <w:w w:val="105"/>
          <w:szCs w:val="24"/>
        </w:rPr>
        <w:t>here large strategic developments are being built, with high trip levels of generation, they should include segregated cycle lanes, and planning policies should be explicit that this will be the expectation, with wording similar to the following</w:t>
      </w:r>
      <w:r w:rsidR="00890045">
        <w:rPr>
          <w:rFonts w:asciiTheme="minorHAnsi" w:hAnsiTheme="minorHAnsi" w:cstheme="minorHAnsi"/>
          <w:color w:val="000000" w:themeColor="text1"/>
          <w:w w:val="105"/>
          <w:szCs w:val="24"/>
        </w:rPr>
        <w:t>:</w:t>
      </w:r>
    </w:p>
    <w:p w:rsidR="0039262C" w:rsidRDefault="00890045" w:rsidP="00890045">
      <w:pPr>
        <w:pStyle w:val="ListParagraph"/>
        <w:spacing w:before="120" w:line="300" w:lineRule="auto"/>
        <w:ind w:left="567"/>
        <w:contextualSpacing w:val="0"/>
        <w:textAlignment w:val="baseline"/>
        <w:rPr>
          <w:rFonts w:asciiTheme="minorHAnsi" w:hAnsiTheme="minorHAnsi" w:cstheme="minorHAnsi"/>
          <w:color w:val="000000" w:themeColor="text1"/>
          <w:w w:val="105"/>
          <w:szCs w:val="24"/>
        </w:rPr>
      </w:pPr>
      <w:r w:rsidRPr="00890045">
        <w:rPr>
          <w:rFonts w:asciiTheme="minorHAnsi" w:hAnsiTheme="minorHAnsi" w:cstheme="minorHAnsi"/>
          <w:color w:val="000000" w:themeColor="text1"/>
          <w:w w:val="105"/>
          <w:szCs w:val="24"/>
        </w:rPr>
        <w:t xml:space="preserve">Major development shall incorporate or fund the provision of high quality segregated cycle routes and direct and safe pedestrian infrastructure commensurate with the scale of development and trip generation and designed in accordance with Local Transport Note 1 / 20 - Cycle Infrastructure Design. </w:t>
      </w:r>
      <w:r>
        <w:rPr>
          <w:rFonts w:asciiTheme="minorHAnsi" w:hAnsiTheme="minorHAnsi" w:cstheme="minorHAnsi"/>
          <w:color w:val="000000" w:themeColor="text1"/>
          <w:w w:val="105"/>
          <w:szCs w:val="24"/>
        </w:rPr>
        <w:t xml:space="preserve"> </w:t>
      </w:r>
      <w:r w:rsidRPr="00890045">
        <w:rPr>
          <w:rFonts w:asciiTheme="minorHAnsi" w:hAnsiTheme="minorHAnsi" w:cstheme="minorHAnsi"/>
          <w:color w:val="000000" w:themeColor="text1"/>
          <w:w w:val="105"/>
          <w:szCs w:val="24"/>
        </w:rPr>
        <w:t>Cycling is or will become mass transit and must be treated as such</w:t>
      </w:r>
      <w:r>
        <w:rPr>
          <w:rFonts w:asciiTheme="minorHAnsi" w:hAnsiTheme="minorHAnsi" w:cstheme="minorHAnsi"/>
          <w:color w:val="000000" w:themeColor="text1"/>
          <w:w w:val="105"/>
          <w:szCs w:val="24"/>
        </w:rPr>
        <w:t>.</w:t>
      </w:r>
    </w:p>
    <w:p w:rsidR="00650C0E" w:rsidRDefault="00650C0E" w:rsidP="00890045">
      <w:pPr>
        <w:pStyle w:val="ListParagraph"/>
        <w:spacing w:before="120" w:line="300" w:lineRule="auto"/>
        <w:ind w:left="567"/>
        <w:contextualSpacing w:val="0"/>
        <w:textAlignment w:val="baseline"/>
        <w:rPr>
          <w:rFonts w:asciiTheme="minorHAnsi" w:hAnsiTheme="minorHAnsi" w:cstheme="minorHAnsi"/>
          <w:color w:val="000000" w:themeColor="text1"/>
          <w:w w:val="105"/>
          <w:szCs w:val="24"/>
        </w:rPr>
      </w:pPr>
      <w:r>
        <w:rPr>
          <w:rFonts w:asciiTheme="minorHAnsi" w:hAnsiTheme="minorHAnsi" w:cstheme="minorHAnsi"/>
          <w:color w:val="000000" w:themeColor="text1"/>
          <w:w w:val="105"/>
          <w:szCs w:val="24"/>
        </w:rPr>
        <w:br w:type="page"/>
      </w:r>
    </w:p>
    <w:p w:rsidR="003D1946" w:rsidRPr="003D1946" w:rsidRDefault="0071171F" w:rsidP="002801A7">
      <w:pPr>
        <w:pStyle w:val="ListParagraph"/>
        <w:autoSpaceDE w:val="0"/>
        <w:autoSpaceDN w:val="0"/>
        <w:adjustRightInd w:val="0"/>
        <w:spacing w:before="360"/>
        <w:ind w:right="-45"/>
        <w:contextualSpacing w:val="0"/>
        <w:outlineLvl w:val="0"/>
        <w:rPr>
          <w:rFonts w:asciiTheme="minorHAnsi" w:hAnsiTheme="minorHAnsi" w:cstheme="minorHAnsi"/>
          <w:b/>
          <w:color w:val="0070C0"/>
          <w:sz w:val="36"/>
          <w:szCs w:val="36"/>
          <w:lang w:eastAsia="en-GB"/>
        </w:rPr>
      </w:pPr>
      <w:bookmarkStart w:id="53" w:name="_Toc65242939"/>
      <w:r w:rsidRPr="003D1946">
        <w:rPr>
          <w:rFonts w:asciiTheme="minorHAnsi" w:hAnsiTheme="minorHAnsi" w:cstheme="minorHAnsi"/>
          <w:b/>
          <w:color w:val="0070C0"/>
          <w:sz w:val="36"/>
          <w:szCs w:val="36"/>
          <w:lang w:eastAsia="en-GB"/>
        </w:rPr>
        <w:lastRenderedPageBreak/>
        <w:t>Settlement policies</w:t>
      </w:r>
      <w:bookmarkEnd w:id="53"/>
    </w:p>
    <w:p w:rsidR="0071171F" w:rsidRDefault="00797D9D" w:rsidP="002801A7">
      <w:pPr>
        <w:pStyle w:val="ListParagraph"/>
        <w:numPr>
          <w:ilvl w:val="1"/>
          <w:numId w:val="0"/>
        </w:numPr>
        <w:spacing w:before="240" w:after="240"/>
        <w:contextualSpacing w:val="0"/>
        <w:textAlignment w:val="baseline"/>
        <w:rPr>
          <w:rFonts w:asciiTheme="minorHAnsi" w:hAnsiTheme="minorHAnsi" w:cstheme="minorHAnsi"/>
          <w:lang w:eastAsia="en-GB"/>
        </w:rPr>
      </w:pPr>
      <w:r>
        <w:rPr>
          <w:rFonts w:asciiTheme="minorHAnsi" w:hAnsiTheme="minorHAnsi" w:cstheme="minorHAnsi"/>
          <w:lang w:eastAsia="en-GB"/>
        </w:rPr>
        <w:t>W</w:t>
      </w:r>
      <w:r w:rsidR="009E0C85">
        <w:rPr>
          <w:rFonts w:asciiTheme="minorHAnsi" w:hAnsiTheme="minorHAnsi" w:cstheme="minorHAnsi"/>
          <w:lang w:eastAsia="en-GB"/>
        </w:rPr>
        <w:t>e comment below</w:t>
      </w:r>
      <w:r w:rsidR="0071171F">
        <w:rPr>
          <w:rFonts w:asciiTheme="minorHAnsi" w:hAnsiTheme="minorHAnsi" w:cstheme="minorHAnsi"/>
          <w:lang w:eastAsia="en-GB"/>
        </w:rPr>
        <w:t xml:space="preserve"> on some of the more anomalous settlement policies</w:t>
      </w:r>
      <w:r w:rsidR="009E0C85">
        <w:rPr>
          <w:rFonts w:asciiTheme="minorHAnsi" w:hAnsiTheme="minorHAnsi" w:cstheme="minorHAnsi"/>
          <w:lang w:eastAsia="en-GB"/>
        </w:rPr>
        <w:t xml:space="preserve"> but our limited resources mean</w:t>
      </w:r>
      <w:r w:rsidR="0071171F">
        <w:rPr>
          <w:rFonts w:asciiTheme="minorHAnsi" w:hAnsiTheme="minorHAnsi" w:cstheme="minorHAnsi"/>
          <w:lang w:eastAsia="en-GB"/>
        </w:rPr>
        <w:t xml:space="preserve"> that we </w:t>
      </w:r>
      <w:r w:rsidR="009E0C85">
        <w:rPr>
          <w:rFonts w:asciiTheme="minorHAnsi" w:hAnsiTheme="minorHAnsi" w:cstheme="minorHAnsi"/>
          <w:lang w:eastAsia="en-GB"/>
        </w:rPr>
        <w:t xml:space="preserve">have </w:t>
      </w:r>
      <w:r w:rsidR="0071171F">
        <w:rPr>
          <w:rFonts w:asciiTheme="minorHAnsi" w:hAnsiTheme="minorHAnsi" w:cstheme="minorHAnsi"/>
          <w:lang w:eastAsia="en-GB"/>
        </w:rPr>
        <w:t xml:space="preserve">necessarily concentrated on the higher level policies.  The local campaign groups, several of which we support, are better resourced to </w:t>
      </w:r>
      <w:r w:rsidR="009E0C85">
        <w:rPr>
          <w:rFonts w:asciiTheme="minorHAnsi" w:hAnsiTheme="minorHAnsi" w:cstheme="minorHAnsi"/>
          <w:lang w:eastAsia="en-GB"/>
        </w:rPr>
        <w:t>comment on</w:t>
      </w:r>
      <w:r w:rsidR="0071171F">
        <w:rPr>
          <w:rFonts w:asciiTheme="minorHAnsi" w:hAnsiTheme="minorHAnsi" w:cstheme="minorHAnsi"/>
          <w:lang w:eastAsia="en-GB"/>
        </w:rPr>
        <w:t xml:space="preserve"> their local </w:t>
      </w:r>
      <w:r w:rsidR="009E0C85">
        <w:rPr>
          <w:rFonts w:asciiTheme="minorHAnsi" w:hAnsiTheme="minorHAnsi" w:cstheme="minorHAnsi"/>
          <w:lang w:eastAsia="en-GB"/>
        </w:rPr>
        <w:t>area</w:t>
      </w:r>
      <w:r w:rsidR="0071171F">
        <w:rPr>
          <w:rFonts w:asciiTheme="minorHAnsi" w:hAnsiTheme="minorHAnsi" w:cstheme="minorHAnsi"/>
          <w:lang w:eastAsia="en-GB"/>
        </w:rPr>
        <w:t>s.</w:t>
      </w:r>
    </w:p>
    <w:p w:rsidR="00EC4E3E" w:rsidRDefault="00EC4E3E" w:rsidP="002801A7">
      <w:pPr>
        <w:pStyle w:val="ListParagraph"/>
        <w:numPr>
          <w:ilvl w:val="1"/>
          <w:numId w:val="0"/>
        </w:numPr>
        <w:spacing w:before="240" w:after="240"/>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As noted in section 4 above, the </w:t>
      </w:r>
      <w:r w:rsidR="006E76C7">
        <w:rPr>
          <w:rFonts w:asciiTheme="minorHAnsi" w:hAnsiTheme="minorHAnsi" w:cstheme="minorHAnsi"/>
          <w:lang w:eastAsia="en-GB"/>
        </w:rPr>
        <w:t>guideline figures for several individual settlements are anomalous, possibly vastly overpitched, and a long way from ‘balance’, most notably Bridgnorth, Shifnal, Oswestry and Market Drayton.</w:t>
      </w:r>
    </w:p>
    <w:p w:rsidR="00816B28" w:rsidRDefault="00816B28" w:rsidP="00816B28">
      <w:pPr>
        <w:pStyle w:val="ListParagraph"/>
        <w:keepNext/>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54" w:name="_Toc65242940"/>
      <w:r>
        <w:rPr>
          <w:rFonts w:asciiTheme="minorHAnsi" w:hAnsiTheme="minorHAnsi" w:cstheme="minorHAnsi"/>
          <w:b/>
          <w:color w:val="0070C0"/>
          <w:sz w:val="36"/>
          <w:szCs w:val="36"/>
          <w:lang w:eastAsia="en-GB"/>
        </w:rPr>
        <w:t>S3 B</w:t>
      </w:r>
      <w:r w:rsidRPr="00816B28">
        <w:rPr>
          <w:rFonts w:asciiTheme="minorHAnsi" w:hAnsiTheme="minorHAnsi" w:cstheme="minorHAnsi"/>
          <w:b/>
          <w:color w:val="0070C0"/>
          <w:sz w:val="36"/>
          <w:szCs w:val="36"/>
          <w:lang w:eastAsia="en-GB"/>
        </w:rPr>
        <w:t>ridgnorth</w:t>
      </w:r>
      <w:r>
        <w:rPr>
          <w:rFonts w:asciiTheme="minorHAnsi" w:hAnsiTheme="minorHAnsi" w:cstheme="minorHAnsi"/>
          <w:b/>
          <w:color w:val="0070C0"/>
          <w:sz w:val="36"/>
          <w:szCs w:val="36"/>
          <w:lang w:eastAsia="en-GB"/>
        </w:rPr>
        <w:t xml:space="preserve"> Place Plan area</w:t>
      </w:r>
      <w:bookmarkEnd w:id="54"/>
    </w:p>
    <w:p w:rsidR="00816B28" w:rsidRPr="00FE2663" w:rsidRDefault="00816B28" w:rsidP="00816B28">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816B28" w:rsidRPr="00FE2663" w:rsidRDefault="00816B28" w:rsidP="00816B28">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816B28" w:rsidRPr="00A17498" w:rsidTr="00B04729">
        <w:trPr>
          <w:trHeight w:val="283"/>
        </w:trPr>
        <w:tc>
          <w:tcPr>
            <w:tcW w:w="567" w:type="dxa"/>
            <w:tcBorders>
              <w:right w:val="single" w:sz="4" w:space="0" w:color="auto"/>
            </w:tcBorders>
            <w:vAlign w:val="center"/>
          </w:tcPr>
          <w:p w:rsidR="00816B28" w:rsidRPr="00A17498" w:rsidRDefault="00816B28" w:rsidP="00B0472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816B28" w:rsidRPr="001251D0" w:rsidRDefault="00816B28" w:rsidP="00B0472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816B28" w:rsidRPr="00A17498" w:rsidRDefault="00816B28" w:rsidP="00816B2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816B28" w:rsidRPr="00A17498" w:rsidTr="00B04729">
        <w:trPr>
          <w:trHeight w:val="283"/>
        </w:trPr>
        <w:tc>
          <w:tcPr>
            <w:tcW w:w="1134" w:type="dxa"/>
            <w:tcBorders>
              <w:top w:val="nil"/>
              <w:left w:val="nil"/>
              <w:bottom w:val="nil"/>
              <w:right w:val="single" w:sz="4" w:space="0" w:color="auto"/>
            </w:tcBorders>
            <w:vAlign w:val="center"/>
          </w:tcPr>
          <w:p w:rsidR="00816B28" w:rsidRPr="00A17498" w:rsidRDefault="00816B28" w:rsidP="00B0472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816B28" w:rsidRPr="00A17498" w:rsidRDefault="00816B28" w:rsidP="00B0472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816B28" w:rsidRPr="00A17498" w:rsidRDefault="00816B28" w:rsidP="00B0472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816B28" w:rsidRPr="00A17498" w:rsidRDefault="00816B28" w:rsidP="00B04729">
            <w:pPr>
              <w:pStyle w:val="BodyText"/>
              <w:spacing w:after="0"/>
              <w:rPr>
                <w:rFonts w:asciiTheme="minorHAnsi" w:hAnsiTheme="minorHAnsi" w:cstheme="minorHAnsi"/>
              </w:rPr>
            </w:pPr>
            <w:r>
              <w:rPr>
                <w:rFonts w:asciiTheme="minorHAnsi" w:hAnsiTheme="minorHAnsi" w:cstheme="minorHAnsi"/>
              </w:rPr>
              <w:t>S3</w:t>
            </w:r>
          </w:p>
        </w:tc>
      </w:tr>
    </w:tbl>
    <w:p w:rsidR="00816B28" w:rsidRPr="00A17498" w:rsidRDefault="00816B28" w:rsidP="00816B28">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816B28" w:rsidRPr="00B20DB7" w:rsidTr="00B04729">
        <w:trPr>
          <w:trHeight w:val="283"/>
        </w:trPr>
        <w:tc>
          <w:tcPr>
            <w:tcW w:w="4820" w:type="dxa"/>
            <w:tcBorders>
              <w:top w:val="nil"/>
              <w:left w:val="nil"/>
              <w:bottom w:val="nil"/>
              <w:right w:val="single" w:sz="4" w:space="0" w:color="auto"/>
            </w:tcBorders>
            <w:vAlign w:val="center"/>
          </w:tcPr>
          <w:p w:rsidR="00816B28" w:rsidRPr="00882F68" w:rsidRDefault="00816B28" w:rsidP="00B04729">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single" w:sz="4" w:space="0" w:color="auto"/>
              <w:left w:val="single" w:sz="4" w:space="0" w:color="auto"/>
              <w:bottom w:val="single" w:sz="4" w:space="0" w:color="auto"/>
              <w:right w:val="single" w:sz="4" w:space="0" w:color="auto"/>
            </w:tcBorders>
            <w:vAlign w:val="center"/>
          </w:tcPr>
          <w:p w:rsidR="00816B28" w:rsidRPr="00CD44CB" w:rsidRDefault="00816B28" w:rsidP="00B04729">
            <w:pPr>
              <w:rPr>
                <w:rFonts w:ascii="Arial" w:eastAsiaTheme="minorHAnsi" w:hAnsi="Arial" w:cs="Arial"/>
                <w:color w:val="000000"/>
                <w:sz w:val="20"/>
                <w:szCs w:val="20"/>
              </w:rPr>
            </w:pPr>
            <w:r w:rsidRPr="00CD44CB">
              <w:rPr>
                <w:rFonts w:ascii="Arial" w:eastAsiaTheme="minorHAnsi" w:hAnsi="Arial" w:cs="Arial"/>
                <w:color w:val="000000"/>
                <w:sz w:val="20"/>
                <w:szCs w:val="20"/>
              </w:rPr>
              <w:t>Yes:</w:t>
            </w:r>
          </w:p>
        </w:tc>
        <w:tc>
          <w:tcPr>
            <w:tcW w:w="567" w:type="dxa"/>
            <w:tcBorders>
              <w:top w:val="nil"/>
              <w:left w:val="single" w:sz="4" w:space="0" w:color="auto"/>
              <w:bottom w:val="nil"/>
              <w:right w:val="single" w:sz="4" w:space="0" w:color="auto"/>
            </w:tcBorders>
            <w:vAlign w:val="center"/>
          </w:tcPr>
          <w:p w:rsidR="00816B28" w:rsidRPr="00B20DB7" w:rsidRDefault="00816B28" w:rsidP="00B04729">
            <w:pPr>
              <w:rPr>
                <w:rFonts w:ascii="Verdana" w:eastAsiaTheme="minorHAnsi" w:hAnsi="Verdana" w:cs="Verdana"/>
                <w:color w:val="000000"/>
                <w:sz w:val="20"/>
                <w:szCs w:val="20"/>
              </w:rPr>
            </w:pPr>
          </w:p>
        </w:tc>
        <w:tc>
          <w:tcPr>
            <w:tcW w:w="993" w:type="dxa"/>
            <w:tcBorders>
              <w:top w:val="nil"/>
              <w:left w:val="single" w:sz="4" w:space="0" w:color="auto"/>
              <w:bottom w:val="nil"/>
              <w:right w:val="single" w:sz="4" w:space="0" w:color="auto"/>
            </w:tcBorders>
            <w:vAlign w:val="center"/>
          </w:tcPr>
          <w:p w:rsidR="00816B28" w:rsidRPr="00CD44CB" w:rsidRDefault="00816B28" w:rsidP="00B04729">
            <w:pPr>
              <w:rPr>
                <w:rFonts w:ascii="Arial" w:eastAsiaTheme="minorHAnsi" w:hAnsi="Arial" w:cs="Arial"/>
                <w:color w:val="000000"/>
                <w:sz w:val="20"/>
                <w:szCs w:val="20"/>
              </w:rPr>
            </w:pPr>
            <w:r w:rsidRPr="00CD44CB">
              <w:rPr>
                <w:rFonts w:ascii="Arial" w:eastAsiaTheme="minorHAnsi" w:hAnsi="Arial" w:cs="Arial"/>
                <w:color w:val="000000"/>
                <w:sz w:val="20"/>
                <w:szCs w:val="20"/>
              </w:rPr>
              <w:t>No:</w:t>
            </w:r>
          </w:p>
        </w:tc>
        <w:tc>
          <w:tcPr>
            <w:tcW w:w="567" w:type="dxa"/>
            <w:tcBorders>
              <w:left w:val="single" w:sz="4" w:space="0" w:color="auto"/>
            </w:tcBorders>
            <w:vAlign w:val="center"/>
          </w:tcPr>
          <w:p w:rsidR="00816B28" w:rsidRPr="00CD44CB" w:rsidRDefault="00816B28" w:rsidP="00B04729">
            <w:pPr>
              <w:pStyle w:val="ListParagraph"/>
              <w:spacing w:after="0"/>
              <w:contextualSpacing w:val="0"/>
              <w:rPr>
                <w:rFonts w:asciiTheme="minorHAnsi" w:hAnsiTheme="minorHAnsi" w:cstheme="minorHAnsi"/>
                <w:b/>
              </w:rPr>
            </w:pPr>
            <w:r w:rsidRPr="00CD44CB">
              <w:rPr>
                <w:rFonts w:asciiTheme="minorHAnsi" w:hAnsiTheme="minorHAnsi" w:cstheme="minorHAnsi"/>
                <w:b/>
              </w:rPr>
              <w:t>√</w:t>
            </w:r>
          </w:p>
        </w:tc>
      </w:tr>
    </w:tbl>
    <w:p w:rsidR="00816B28" w:rsidRPr="00864981" w:rsidRDefault="00816B28" w:rsidP="00816B28">
      <w:pPr>
        <w:pStyle w:val="Heading2"/>
        <w:spacing w:before="240" w:after="120"/>
        <w:rPr>
          <w:rFonts w:asciiTheme="minorHAnsi" w:eastAsiaTheme="minorHAnsi" w:hAnsiTheme="minorHAnsi" w:cstheme="minorHAnsi"/>
          <w:b/>
          <w:i/>
          <w:color w:val="0070C0"/>
          <w:sz w:val="28"/>
          <w:szCs w:val="28"/>
          <w:lang w:eastAsia="en-GB"/>
        </w:rPr>
      </w:pPr>
      <w:bookmarkStart w:id="55" w:name="_Toc65242941"/>
      <w:r w:rsidRPr="005307CB">
        <w:rPr>
          <w:rFonts w:asciiTheme="minorHAnsi" w:eastAsiaTheme="minorHAnsi" w:hAnsiTheme="minorHAnsi" w:cstheme="minorHAnsi"/>
          <w:b/>
          <w:i/>
          <w:color w:val="0070C0"/>
          <w:sz w:val="28"/>
          <w:szCs w:val="28"/>
          <w:lang w:eastAsia="en-GB"/>
        </w:rPr>
        <w:t>Details</w:t>
      </w:r>
      <w:bookmarkEnd w:id="55"/>
    </w:p>
    <w:p w:rsidR="00816B28" w:rsidRDefault="00816B28"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At the Preferred Scale and Distribution of Development stage of consultation</w:t>
      </w:r>
      <w:r w:rsidRPr="007B545C">
        <w:rPr>
          <w:rFonts w:asciiTheme="minorHAnsi" w:hAnsiTheme="minorHAnsi" w:cstheme="minorHAnsi"/>
          <w:szCs w:val="24"/>
          <w:lang w:eastAsia="en-GB"/>
        </w:rPr>
        <w:t xml:space="preserve"> </w:t>
      </w:r>
      <w:r>
        <w:rPr>
          <w:rFonts w:asciiTheme="minorHAnsi" w:hAnsiTheme="minorHAnsi" w:cstheme="minorHAnsi"/>
          <w:szCs w:val="24"/>
          <w:lang w:eastAsia="en-GB"/>
        </w:rPr>
        <w:t xml:space="preserve">Table 2 on page 21 </w:t>
      </w:r>
      <w:r w:rsidR="00FD3614">
        <w:rPr>
          <w:rFonts w:asciiTheme="minorHAnsi" w:hAnsiTheme="minorHAnsi" w:cstheme="minorHAnsi"/>
          <w:szCs w:val="24"/>
          <w:lang w:eastAsia="en-GB"/>
        </w:rPr>
        <w:t xml:space="preserve">of the consultation document </w:t>
      </w:r>
      <w:r>
        <w:rPr>
          <w:rFonts w:asciiTheme="minorHAnsi" w:hAnsiTheme="minorHAnsi" w:cstheme="minorHAnsi"/>
          <w:szCs w:val="24"/>
          <w:lang w:eastAsia="en-GB"/>
        </w:rPr>
        <w:t>stated the guideline figures for Bridgnorth to be 1,500 for housing and 16 hectares of employment land</w:t>
      </w:r>
      <w:r w:rsidRPr="00122B98">
        <w:rPr>
          <w:rFonts w:asciiTheme="minorHAnsi" w:hAnsiTheme="minorHAnsi" w:cstheme="minorHAnsi"/>
          <w:szCs w:val="24"/>
          <w:lang w:eastAsia="en-GB"/>
        </w:rPr>
        <w:t xml:space="preserve"> to balance </w:t>
      </w:r>
      <w:r>
        <w:rPr>
          <w:rFonts w:asciiTheme="minorHAnsi" w:hAnsiTheme="minorHAnsi" w:cstheme="minorHAnsi"/>
          <w:szCs w:val="24"/>
          <w:lang w:eastAsia="en-GB"/>
        </w:rPr>
        <w:t xml:space="preserve">that </w:t>
      </w:r>
      <w:r w:rsidRPr="00122B98">
        <w:rPr>
          <w:rFonts w:asciiTheme="minorHAnsi" w:hAnsiTheme="minorHAnsi" w:cstheme="minorHAnsi"/>
          <w:szCs w:val="24"/>
          <w:lang w:eastAsia="en-GB"/>
        </w:rPr>
        <w:t>housing</w:t>
      </w:r>
      <w:r>
        <w:rPr>
          <w:rFonts w:asciiTheme="minorHAnsi" w:hAnsiTheme="minorHAnsi" w:cstheme="minorHAnsi"/>
          <w:szCs w:val="24"/>
          <w:lang w:eastAsia="en-GB"/>
        </w:rPr>
        <w:t>.  Based on Table 7 on page 42 the calculation of this employment land figure would have been::</w:t>
      </w:r>
    </w:p>
    <w:p w:rsidR="00816B28" w:rsidRDefault="00816B28" w:rsidP="00816B28">
      <w:pPr>
        <w:pStyle w:val="ListParagraph"/>
        <w:spacing w:before="240" w:after="240"/>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1,500 x 42.25 / 10,000 / 40% = 15.84 Ha, which rounds to 16 Ha.</w:t>
      </w:r>
    </w:p>
    <w:p w:rsidR="00816B28" w:rsidRDefault="00816B28"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That 16 Ha is the figure shown in the “ ‘Balanced’ employment from housing” column of Table 4.2 above.</w:t>
      </w:r>
    </w:p>
    <w:p w:rsidR="00816B28" w:rsidRDefault="00816B28"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At the Preferred Sites stage of consultation the housing guideline remained the same but the employment land guideline was increased by 12 ha to 28 Ha, ‘to address local circumstances’. </w:t>
      </w:r>
    </w:p>
    <w:p w:rsidR="00816B28" w:rsidRDefault="00816B28"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In this consultation</w:t>
      </w:r>
      <w:r w:rsidR="00477F0A">
        <w:rPr>
          <w:rFonts w:asciiTheme="minorHAnsi" w:hAnsiTheme="minorHAnsi" w:cstheme="minorHAnsi"/>
          <w:szCs w:val="24"/>
          <w:lang w:eastAsia="en-GB"/>
        </w:rPr>
        <w:t xml:space="preserve"> and the previous Regulation 18 Pre-submission Draft Plan stage </w:t>
      </w:r>
      <w:r>
        <w:rPr>
          <w:rFonts w:asciiTheme="minorHAnsi" w:hAnsiTheme="minorHAnsi" w:cstheme="minorHAnsi"/>
          <w:szCs w:val="24"/>
          <w:lang w:eastAsia="en-GB"/>
        </w:rPr>
        <w:t xml:space="preserve">the housing guideline has been increased by 20% to 1,800, but the employment land guideline has been increased by a further 21 Ha to 49 Ha, </w:t>
      </w:r>
      <w:r w:rsidR="00166CB9">
        <w:rPr>
          <w:rFonts w:asciiTheme="minorHAnsi" w:hAnsiTheme="minorHAnsi" w:cstheme="minorHAnsi"/>
          <w:szCs w:val="24"/>
          <w:lang w:eastAsia="en-GB"/>
        </w:rPr>
        <w:t>which is an increase of</w:t>
      </w:r>
      <w:r>
        <w:rPr>
          <w:rFonts w:asciiTheme="minorHAnsi" w:hAnsiTheme="minorHAnsi" w:cstheme="minorHAnsi"/>
          <w:szCs w:val="24"/>
          <w:lang w:eastAsia="en-GB"/>
        </w:rPr>
        <w:t xml:space="preserve"> </w:t>
      </w:r>
      <w:r w:rsidR="00477F0A">
        <w:rPr>
          <w:rFonts w:asciiTheme="minorHAnsi" w:hAnsiTheme="minorHAnsi" w:cstheme="minorHAnsi"/>
          <w:szCs w:val="24"/>
          <w:lang w:eastAsia="en-GB"/>
        </w:rPr>
        <w:t>more than triple</w:t>
      </w:r>
      <w:r>
        <w:rPr>
          <w:rFonts w:asciiTheme="minorHAnsi" w:hAnsiTheme="minorHAnsi" w:cstheme="minorHAnsi"/>
          <w:szCs w:val="24"/>
          <w:lang w:eastAsia="en-GB"/>
        </w:rPr>
        <w:t xml:space="preserve"> the original figure.</w:t>
      </w:r>
    </w:p>
    <w:p w:rsidR="00816B28" w:rsidRDefault="00816B28"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lang w:eastAsia="en-GB"/>
        </w:rPr>
      </w:pPr>
      <w:r>
        <w:rPr>
          <w:rFonts w:asciiTheme="minorHAnsi" w:hAnsiTheme="minorHAnsi" w:cstheme="minorHAnsi"/>
          <w:szCs w:val="24"/>
          <w:lang w:eastAsia="en-GB"/>
        </w:rPr>
        <w:t xml:space="preserve">Nowhere in the consultation document itself or in the Bridgnorth section of the </w:t>
      </w:r>
      <w:r w:rsidRPr="00EF1891">
        <w:rPr>
          <w:rFonts w:asciiTheme="minorHAnsi" w:hAnsiTheme="minorHAnsi" w:cstheme="minorHAnsi"/>
          <w:color w:val="000000"/>
          <w:szCs w:val="24"/>
          <w:lang w:eastAsia="en-GB"/>
        </w:rPr>
        <w:t>Green Belt Release Exceptional Circumstances Statement</w:t>
      </w:r>
      <w:r>
        <w:rPr>
          <w:rFonts w:asciiTheme="minorHAnsi" w:hAnsiTheme="minorHAnsi" w:cstheme="minorHAnsi"/>
          <w:lang w:eastAsia="en-GB"/>
        </w:rPr>
        <w:t xml:space="preserve"> does there seem to be any </w:t>
      </w:r>
      <w:r w:rsidR="00477F0A">
        <w:rPr>
          <w:rFonts w:asciiTheme="minorHAnsi" w:hAnsiTheme="minorHAnsi" w:cstheme="minorHAnsi"/>
          <w:lang w:eastAsia="en-GB"/>
        </w:rPr>
        <w:t>quantified</w:t>
      </w:r>
      <w:r>
        <w:rPr>
          <w:rFonts w:asciiTheme="minorHAnsi" w:hAnsiTheme="minorHAnsi" w:cstheme="minorHAnsi"/>
          <w:lang w:eastAsia="en-GB"/>
        </w:rPr>
        <w:t xml:space="preserve"> justification for this massive proposed increase in the employment land guideline, or for the departure from balance with the housing guideline.</w:t>
      </w:r>
    </w:p>
    <w:p w:rsidR="00816B28" w:rsidRDefault="00816B28"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sidRPr="00EF1891">
        <w:rPr>
          <w:rFonts w:asciiTheme="minorHAnsi" w:hAnsiTheme="minorHAnsi" w:cstheme="minorHAnsi"/>
          <w:szCs w:val="24"/>
          <w:lang w:eastAsia="en-GB"/>
        </w:rPr>
        <w:lastRenderedPageBreak/>
        <w:t>The C</w:t>
      </w:r>
      <w:r>
        <w:rPr>
          <w:rFonts w:asciiTheme="minorHAnsi" w:hAnsiTheme="minorHAnsi" w:cstheme="minorHAnsi"/>
          <w:szCs w:val="24"/>
          <w:lang w:eastAsia="en-GB"/>
        </w:rPr>
        <w:t>ouncil now proposes an allocation</w:t>
      </w:r>
      <w:r w:rsidRPr="00EF1891">
        <w:rPr>
          <w:rFonts w:asciiTheme="minorHAnsi" w:hAnsiTheme="minorHAnsi" w:cstheme="minorHAnsi"/>
          <w:szCs w:val="24"/>
          <w:lang w:eastAsia="en-GB"/>
        </w:rPr>
        <w:t xml:space="preserve"> </w:t>
      </w:r>
      <w:r>
        <w:rPr>
          <w:rFonts w:asciiTheme="minorHAnsi" w:hAnsiTheme="minorHAnsi" w:cstheme="minorHAnsi"/>
          <w:szCs w:val="24"/>
          <w:lang w:eastAsia="en-GB"/>
        </w:rPr>
        <w:t xml:space="preserve">of 1,050 houses on </w:t>
      </w:r>
      <w:r w:rsidRPr="00EF1891">
        <w:rPr>
          <w:rFonts w:asciiTheme="minorHAnsi" w:hAnsiTheme="minorHAnsi" w:cstheme="minorHAnsi"/>
          <w:szCs w:val="24"/>
          <w:lang w:eastAsia="en-GB"/>
        </w:rPr>
        <w:t xml:space="preserve">the </w:t>
      </w:r>
      <w:r>
        <w:rPr>
          <w:rFonts w:asciiTheme="minorHAnsi" w:hAnsiTheme="minorHAnsi" w:cstheme="minorHAnsi"/>
          <w:szCs w:val="24"/>
          <w:lang w:eastAsia="en-GB"/>
        </w:rPr>
        <w:t>proposed Taylor Wimpey ‘garden village’ sustainable urban extension site at Tasley rather than the previously proposed allocation</w:t>
      </w:r>
      <w:r w:rsidRPr="00EF1891">
        <w:rPr>
          <w:rFonts w:asciiTheme="minorHAnsi" w:hAnsiTheme="minorHAnsi" w:cstheme="minorHAnsi"/>
          <w:szCs w:val="24"/>
          <w:lang w:eastAsia="en-GB"/>
        </w:rPr>
        <w:t xml:space="preserve"> </w:t>
      </w:r>
      <w:r>
        <w:rPr>
          <w:rFonts w:asciiTheme="minorHAnsi" w:hAnsiTheme="minorHAnsi" w:cstheme="minorHAnsi"/>
          <w:szCs w:val="24"/>
          <w:lang w:eastAsia="en-GB"/>
        </w:rPr>
        <w:t>of 850 houses on the Stanmore site.  It is therefore not consistent to continue to propose an employment land allocation at Stanmore, the more so because it is the Green Belt.</w:t>
      </w:r>
    </w:p>
    <w:p w:rsidR="00816B28" w:rsidRDefault="00816B28"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We summarised our comments dated 3 June 2020 to the consultation on the Taylor Wimpey proposals at Tasley as follows:</w:t>
      </w:r>
    </w:p>
    <w:p w:rsidR="00816B28" w:rsidRPr="00284995" w:rsidRDefault="00D041BA"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rPr>
      </w:pPr>
      <w:r>
        <w:rPr>
          <w:rFonts w:asciiTheme="minorHAnsi" w:hAnsiTheme="minorHAnsi" w:cstheme="minorHAnsi"/>
          <w:szCs w:val="24"/>
          <w:lang w:eastAsia="en-GB"/>
        </w:rPr>
        <w:t>From</w:t>
      </w:r>
      <w:r w:rsidR="00816B28">
        <w:rPr>
          <w:rFonts w:asciiTheme="minorHAnsi" w:hAnsiTheme="minorHAnsi" w:cstheme="minorHAnsi"/>
          <w:szCs w:val="24"/>
          <w:lang w:eastAsia="en-GB"/>
        </w:rPr>
        <w:t xml:space="preserve"> comments </w:t>
      </w:r>
      <w:r>
        <w:rPr>
          <w:rFonts w:asciiTheme="minorHAnsi" w:hAnsiTheme="minorHAnsi" w:cstheme="minorHAnsi"/>
          <w:szCs w:val="24"/>
          <w:lang w:eastAsia="en-GB"/>
        </w:rPr>
        <w:t xml:space="preserve">we submitted for the </w:t>
      </w:r>
      <w:r w:rsidR="00816B28">
        <w:rPr>
          <w:rFonts w:asciiTheme="minorHAnsi" w:hAnsiTheme="minorHAnsi" w:cstheme="minorHAnsi"/>
          <w:szCs w:val="24"/>
          <w:lang w:eastAsia="en-GB"/>
        </w:rPr>
        <w:t>consultation</w:t>
      </w:r>
      <w:r>
        <w:rPr>
          <w:rFonts w:asciiTheme="minorHAnsi" w:hAnsiTheme="minorHAnsi" w:cstheme="minorHAnsi"/>
          <w:szCs w:val="24"/>
          <w:lang w:eastAsia="en-GB"/>
        </w:rPr>
        <w:t xml:space="preserve"> on the Taylor Wimpey proposals at Tasley </w:t>
      </w:r>
      <w:r w:rsidR="00816B28">
        <w:rPr>
          <w:rFonts w:asciiTheme="minorHAnsi" w:hAnsiTheme="minorHAnsi" w:cstheme="minorHAnsi"/>
          <w:szCs w:val="24"/>
          <w:lang w:eastAsia="en-GB"/>
        </w:rPr>
        <w:t xml:space="preserve">we emphasise </w:t>
      </w:r>
      <w:r>
        <w:rPr>
          <w:rFonts w:asciiTheme="minorHAnsi" w:hAnsiTheme="minorHAnsi" w:cstheme="minorHAnsi"/>
          <w:szCs w:val="24"/>
          <w:lang w:eastAsia="en-GB"/>
        </w:rPr>
        <w:t xml:space="preserve">In particular </w:t>
      </w:r>
      <w:r w:rsidR="00816B28" w:rsidRPr="00284995">
        <w:rPr>
          <w:rFonts w:asciiTheme="minorHAnsi" w:hAnsiTheme="minorHAnsi" w:cstheme="minorHAnsi"/>
          <w:szCs w:val="24"/>
          <w:lang w:eastAsia="en-GB"/>
        </w:rPr>
        <w:t>that:</w:t>
      </w:r>
    </w:p>
    <w:p w:rsidR="00477F0A" w:rsidRDefault="00816B28" w:rsidP="0072100A">
      <w:pPr>
        <w:pStyle w:val="ListParagraph"/>
        <w:numPr>
          <w:ilvl w:val="0"/>
          <w:numId w:val="22"/>
        </w:numPr>
        <w:spacing w:before="120" w:line="259" w:lineRule="auto"/>
        <w:ind w:left="567" w:hanging="567"/>
        <w:contextualSpacing w:val="0"/>
        <w:textAlignment w:val="baseline"/>
        <w:rPr>
          <w:rFonts w:asciiTheme="minorHAnsi" w:hAnsiTheme="minorHAnsi" w:cstheme="minorHAnsi"/>
          <w:szCs w:val="24"/>
        </w:rPr>
      </w:pPr>
      <w:r w:rsidRPr="00284995">
        <w:rPr>
          <w:rFonts w:asciiTheme="minorHAnsi" w:hAnsiTheme="minorHAnsi" w:cstheme="minorHAnsi"/>
          <w:szCs w:val="24"/>
        </w:rPr>
        <w:t>There is no proven need for the scale of the proposals, either for housing numbers or for employment land</w:t>
      </w:r>
      <w:r>
        <w:rPr>
          <w:rFonts w:asciiTheme="minorHAnsi" w:hAnsiTheme="minorHAnsi" w:cstheme="minorHAnsi"/>
          <w:szCs w:val="24"/>
        </w:rPr>
        <w:t>, and</w:t>
      </w:r>
    </w:p>
    <w:p w:rsidR="00816B28" w:rsidRDefault="00816B28" w:rsidP="002427CD">
      <w:pPr>
        <w:pStyle w:val="ListParagraph"/>
        <w:numPr>
          <w:ilvl w:val="0"/>
          <w:numId w:val="22"/>
        </w:numPr>
        <w:spacing w:before="120"/>
        <w:ind w:left="567" w:hanging="567"/>
        <w:contextualSpacing w:val="0"/>
        <w:textAlignment w:val="baseline"/>
        <w:rPr>
          <w:rFonts w:asciiTheme="minorHAnsi" w:hAnsiTheme="minorHAnsi" w:cstheme="minorHAnsi"/>
          <w:szCs w:val="24"/>
        </w:rPr>
      </w:pPr>
      <w:r w:rsidRPr="00477F0A">
        <w:rPr>
          <w:rFonts w:asciiTheme="minorHAnsi" w:hAnsiTheme="minorHAnsi" w:cstheme="minorHAnsi"/>
          <w:szCs w:val="24"/>
        </w:rPr>
        <w:t>Not enough account has been taken of the climate emergency</w:t>
      </w:r>
    </w:p>
    <w:p w:rsidR="00166CB9" w:rsidRPr="00477F0A" w:rsidRDefault="00166CB9" w:rsidP="00166CB9">
      <w:pPr>
        <w:pStyle w:val="ListParagraph"/>
        <w:numPr>
          <w:ilvl w:val="1"/>
          <w:numId w:val="1"/>
        </w:numPr>
        <w:spacing w:before="240" w:after="240" w:line="259" w:lineRule="auto"/>
        <w:ind w:left="0" w:hanging="567"/>
        <w:contextualSpacing w:val="0"/>
        <w:textAlignment w:val="baseline"/>
        <w:rPr>
          <w:rFonts w:asciiTheme="minorHAnsi" w:hAnsiTheme="minorHAnsi" w:cstheme="minorHAnsi"/>
          <w:szCs w:val="24"/>
        </w:rPr>
      </w:pPr>
      <w:r>
        <w:rPr>
          <w:rFonts w:asciiTheme="minorHAnsi" w:hAnsiTheme="minorHAnsi" w:cstheme="minorHAnsi"/>
          <w:szCs w:val="24"/>
        </w:rPr>
        <w:t xml:space="preserve">For all these reasons we consider that the proposed employment land guidelines for Bridgnorth are unsound, because they are not supported by proportionate evidence. </w:t>
      </w:r>
    </w:p>
    <w:p w:rsidR="00816B28" w:rsidRPr="00635474" w:rsidRDefault="00816B28" w:rsidP="00816B28">
      <w:pPr>
        <w:pStyle w:val="Heading2"/>
        <w:keepNext w:val="0"/>
        <w:spacing w:before="240" w:after="120"/>
        <w:rPr>
          <w:rFonts w:asciiTheme="minorHAnsi" w:eastAsiaTheme="minorHAnsi" w:hAnsiTheme="minorHAnsi" w:cstheme="minorHAnsi"/>
          <w:b/>
          <w:i/>
          <w:color w:val="0070C0"/>
          <w:sz w:val="28"/>
          <w:szCs w:val="28"/>
          <w:lang w:eastAsia="en-GB"/>
        </w:rPr>
      </w:pPr>
      <w:bookmarkStart w:id="56" w:name="_Toc65242942"/>
      <w:r w:rsidRPr="005307CB">
        <w:rPr>
          <w:rFonts w:asciiTheme="minorHAnsi" w:eastAsiaTheme="minorHAnsi" w:hAnsiTheme="minorHAnsi" w:cstheme="minorHAnsi"/>
          <w:b/>
          <w:i/>
          <w:color w:val="0070C0"/>
          <w:sz w:val="28"/>
          <w:szCs w:val="28"/>
          <w:lang w:eastAsia="en-GB"/>
        </w:rPr>
        <w:t>Modification(s) considered necessary</w:t>
      </w:r>
      <w:bookmarkEnd w:id="56"/>
    </w:p>
    <w:p w:rsidR="00816B28" w:rsidRDefault="00816B28" w:rsidP="00166CB9">
      <w:pPr>
        <w:pStyle w:val="ListParagraph"/>
        <w:numPr>
          <w:ilvl w:val="1"/>
          <w:numId w:val="1"/>
        </w:numPr>
        <w:spacing w:before="240" w:after="240" w:line="259" w:lineRule="auto"/>
        <w:ind w:left="0" w:hanging="709"/>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 xml:space="preserve">The quantum of employment land proposed </w:t>
      </w:r>
      <w:r w:rsidR="00166CB9">
        <w:rPr>
          <w:rFonts w:asciiTheme="minorHAnsi" w:eastAsia="Arial" w:hAnsiTheme="minorHAnsi" w:cstheme="minorHAnsi"/>
          <w:color w:val="000000" w:themeColor="text1"/>
          <w:w w:val="105"/>
          <w:szCs w:val="24"/>
          <w:lang w:val="en-US"/>
        </w:rPr>
        <w:t xml:space="preserve">for Bridgnorth, including that proposed </w:t>
      </w:r>
      <w:r>
        <w:rPr>
          <w:rFonts w:asciiTheme="minorHAnsi" w:eastAsia="Arial" w:hAnsiTheme="minorHAnsi" w:cstheme="minorHAnsi"/>
          <w:color w:val="000000" w:themeColor="text1"/>
          <w:w w:val="105"/>
          <w:szCs w:val="24"/>
          <w:lang w:val="en-US"/>
        </w:rPr>
        <w:t>to be released from the Green B</w:t>
      </w:r>
      <w:r w:rsidR="00477F0A">
        <w:rPr>
          <w:rFonts w:asciiTheme="minorHAnsi" w:eastAsia="Arial" w:hAnsiTheme="minorHAnsi" w:cstheme="minorHAnsi"/>
          <w:color w:val="000000" w:themeColor="text1"/>
          <w:w w:val="105"/>
          <w:szCs w:val="24"/>
          <w:lang w:val="en-US"/>
        </w:rPr>
        <w:t>elt</w:t>
      </w:r>
      <w:r w:rsidR="00166CB9">
        <w:rPr>
          <w:rFonts w:asciiTheme="minorHAnsi" w:eastAsia="Arial" w:hAnsiTheme="minorHAnsi" w:cstheme="minorHAnsi"/>
          <w:color w:val="000000" w:themeColor="text1"/>
          <w:w w:val="105"/>
          <w:szCs w:val="24"/>
          <w:lang w:val="en-US"/>
        </w:rPr>
        <w:t>,</w:t>
      </w:r>
      <w:r w:rsidR="00477F0A">
        <w:rPr>
          <w:rFonts w:asciiTheme="minorHAnsi" w:eastAsia="Arial" w:hAnsiTheme="minorHAnsi" w:cstheme="minorHAnsi"/>
          <w:color w:val="000000" w:themeColor="text1"/>
          <w:w w:val="105"/>
          <w:szCs w:val="24"/>
          <w:lang w:val="en-US"/>
        </w:rPr>
        <w:t xml:space="preserve"> </w:t>
      </w:r>
      <w:r>
        <w:rPr>
          <w:rFonts w:asciiTheme="minorHAnsi" w:eastAsia="Arial" w:hAnsiTheme="minorHAnsi" w:cstheme="minorHAnsi"/>
          <w:color w:val="000000" w:themeColor="text1"/>
          <w:w w:val="105"/>
          <w:szCs w:val="24"/>
          <w:lang w:val="en-US"/>
        </w:rPr>
        <w:t>needs to be reappraised.</w:t>
      </w:r>
    </w:p>
    <w:p w:rsidR="00650C0E" w:rsidRDefault="00650C0E" w:rsidP="00650C0E">
      <w:pPr>
        <w:pStyle w:val="ListParagraph"/>
        <w:spacing w:before="240"/>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br w:type="page"/>
      </w:r>
    </w:p>
    <w:p w:rsidR="00D041BA" w:rsidRDefault="00D041BA" w:rsidP="00D041BA">
      <w:pPr>
        <w:pStyle w:val="ListParagraph"/>
        <w:keepNext/>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57" w:name="_Toc65242943"/>
      <w:r>
        <w:rPr>
          <w:rFonts w:asciiTheme="minorHAnsi" w:hAnsiTheme="minorHAnsi" w:cstheme="minorHAnsi"/>
          <w:b/>
          <w:color w:val="0070C0"/>
          <w:sz w:val="36"/>
          <w:szCs w:val="36"/>
          <w:lang w:eastAsia="en-GB"/>
        </w:rPr>
        <w:lastRenderedPageBreak/>
        <w:t>S11 Market Drayton Place Plan area</w:t>
      </w:r>
      <w:bookmarkEnd w:id="57"/>
    </w:p>
    <w:p w:rsidR="00D041BA" w:rsidRPr="00FE2663" w:rsidRDefault="00D041BA" w:rsidP="00D041BA">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D041BA" w:rsidRPr="00FE2663" w:rsidRDefault="00D041BA" w:rsidP="00D041BA">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D041BA" w:rsidRPr="00A17498" w:rsidTr="00B04729">
        <w:trPr>
          <w:trHeight w:val="283"/>
        </w:trPr>
        <w:tc>
          <w:tcPr>
            <w:tcW w:w="567" w:type="dxa"/>
            <w:tcBorders>
              <w:right w:val="single" w:sz="4" w:space="0" w:color="auto"/>
            </w:tcBorders>
            <w:vAlign w:val="center"/>
          </w:tcPr>
          <w:p w:rsidR="00D041BA" w:rsidRPr="00A17498" w:rsidRDefault="00D041BA" w:rsidP="00B0472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D041BA" w:rsidRPr="001251D0" w:rsidRDefault="00D041BA" w:rsidP="00B0472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D041BA" w:rsidRPr="00A17498" w:rsidRDefault="00D041BA" w:rsidP="00D041BA">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D041BA" w:rsidRPr="00A17498" w:rsidTr="00B04729">
        <w:trPr>
          <w:trHeight w:val="283"/>
        </w:trPr>
        <w:tc>
          <w:tcPr>
            <w:tcW w:w="1134" w:type="dxa"/>
            <w:tcBorders>
              <w:top w:val="nil"/>
              <w:left w:val="nil"/>
              <w:bottom w:val="nil"/>
              <w:right w:val="single" w:sz="4" w:space="0" w:color="auto"/>
            </w:tcBorders>
            <w:vAlign w:val="center"/>
          </w:tcPr>
          <w:p w:rsidR="00D041BA" w:rsidRPr="00A17498" w:rsidRDefault="00D041BA" w:rsidP="00B0472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D041BA" w:rsidRPr="00A17498" w:rsidRDefault="00D041BA" w:rsidP="00B0472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D041BA" w:rsidRPr="00A17498" w:rsidRDefault="00D041BA" w:rsidP="00B0472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D041BA" w:rsidRPr="00A17498" w:rsidRDefault="00D041BA" w:rsidP="00B04729">
            <w:pPr>
              <w:pStyle w:val="BodyText"/>
              <w:spacing w:after="0"/>
              <w:rPr>
                <w:rFonts w:asciiTheme="minorHAnsi" w:hAnsiTheme="minorHAnsi" w:cstheme="minorHAnsi"/>
              </w:rPr>
            </w:pPr>
            <w:r>
              <w:rPr>
                <w:rFonts w:asciiTheme="minorHAnsi" w:hAnsiTheme="minorHAnsi" w:cstheme="minorHAnsi"/>
              </w:rPr>
              <w:t>S11</w:t>
            </w:r>
          </w:p>
        </w:tc>
      </w:tr>
    </w:tbl>
    <w:p w:rsidR="00D041BA" w:rsidRPr="00A17498" w:rsidRDefault="00D041BA" w:rsidP="00D041BA">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D041BA" w:rsidRPr="00B20DB7" w:rsidTr="00B04729">
        <w:trPr>
          <w:trHeight w:val="283"/>
        </w:trPr>
        <w:tc>
          <w:tcPr>
            <w:tcW w:w="4820" w:type="dxa"/>
            <w:tcBorders>
              <w:top w:val="nil"/>
              <w:left w:val="nil"/>
              <w:bottom w:val="nil"/>
              <w:right w:val="single" w:sz="4" w:space="0" w:color="auto"/>
            </w:tcBorders>
            <w:vAlign w:val="center"/>
          </w:tcPr>
          <w:p w:rsidR="00D041BA" w:rsidRPr="00882F68" w:rsidRDefault="00D041BA" w:rsidP="00B04729">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single" w:sz="4" w:space="0" w:color="auto"/>
              <w:left w:val="single" w:sz="4" w:space="0" w:color="auto"/>
              <w:bottom w:val="single" w:sz="4" w:space="0" w:color="auto"/>
              <w:right w:val="single" w:sz="4" w:space="0" w:color="auto"/>
            </w:tcBorders>
            <w:vAlign w:val="center"/>
          </w:tcPr>
          <w:p w:rsidR="00D041BA" w:rsidRPr="00CD44CB" w:rsidRDefault="00D041BA" w:rsidP="00B04729">
            <w:pPr>
              <w:rPr>
                <w:rFonts w:ascii="Arial" w:eastAsiaTheme="minorHAnsi" w:hAnsi="Arial" w:cs="Arial"/>
                <w:color w:val="000000"/>
                <w:sz w:val="20"/>
                <w:szCs w:val="20"/>
              </w:rPr>
            </w:pPr>
            <w:r w:rsidRPr="00CD44CB">
              <w:rPr>
                <w:rFonts w:ascii="Arial" w:eastAsiaTheme="minorHAnsi" w:hAnsi="Arial" w:cs="Arial"/>
                <w:color w:val="000000"/>
                <w:sz w:val="20"/>
                <w:szCs w:val="20"/>
              </w:rPr>
              <w:t>Yes:</w:t>
            </w:r>
          </w:p>
        </w:tc>
        <w:tc>
          <w:tcPr>
            <w:tcW w:w="567" w:type="dxa"/>
            <w:tcBorders>
              <w:top w:val="nil"/>
              <w:left w:val="single" w:sz="4" w:space="0" w:color="auto"/>
              <w:bottom w:val="nil"/>
              <w:right w:val="single" w:sz="4" w:space="0" w:color="auto"/>
            </w:tcBorders>
            <w:vAlign w:val="center"/>
          </w:tcPr>
          <w:p w:rsidR="00D041BA" w:rsidRPr="00B20DB7" w:rsidRDefault="00D041BA" w:rsidP="00B04729">
            <w:pPr>
              <w:rPr>
                <w:rFonts w:ascii="Verdana" w:eastAsiaTheme="minorHAnsi" w:hAnsi="Verdana" w:cs="Verdana"/>
                <w:color w:val="000000"/>
                <w:sz w:val="20"/>
                <w:szCs w:val="20"/>
              </w:rPr>
            </w:pPr>
          </w:p>
        </w:tc>
        <w:tc>
          <w:tcPr>
            <w:tcW w:w="993" w:type="dxa"/>
            <w:tcBorders>
              <w:top w:val="nil"/>
              <w:left w:val="single" w:sz="4" w:space="0" w:color="auto"/>
              <w:bottom w:val="nil"/>
              <w:right w:val="single" w:sz="4" w:space="0" w:color="auto"/>
            </w:tcBorders>
            <w:vAlign w:val="center"/>
          </w:tcPr>
          <w:p w:rsidR="00D041BA" w:rsidRPr="00CD44CB" w:rsidRDefault="00D041BA" w:rsidP="00B04729">
            <w:pPr>
              <w:rPr>
                <w:rFonts w:ascii="Arial" w:eastAsiaTheme="minorHAnsi" w:hAnsi="Arial" w:cs="Arial"/>
                <w:color w:val="000000"/>
                <w:sz w:val="20"/>
                <w:szCs w:val="20"/>
              </w:rPr>
            </w:pPr>
            <w:r w:rsidRPr="00CD44CB">
              <w:rPr>
                <w:rFonts w:ascii="Arial" w:eastAsiaTheme="minorHAnsi" w:hAnsi="Arial" w:cs="Arial"/>
                <w:color w:val="000000"/>
                <w:sz w:val="20"/>
                <w:szCs w:val="20"/>
              </w:rPr>
              <w:t>No:</w:t>
            </w:r>
          </w:p>
        </w:tc>
        <w:tc>
          <w:tcPr>
            <w:tcW w:w="567" w:type="dxa"/>
            <w:tcBorders>
              <w:left w:val="single" w:sz="4" w:space="0" w:color="auto"/>
            </w:tcBorders>
            <w:vAlign w:val="center"/>
          </w:tcPr>
          <w:p w:rsidR="00D041BA" w:rsidRPr="00CD44CB" w:rsidRDefault="00D041BA" w:rsidP="00B04729">
            <w:pPr>
              <w:pStyle w:val="ListParagraph"/>
              <w:spacing w:after="0"/>
              <w:contextualSpacing w:val="0"/>
              <w:rPr>
                <w:rFonts w:asciiTheme="minorHAnsi" w:hAnsiTheme="minorHAnsi" w:cstheme="minorHAnsi"/>
                <w:b/>
              </w:rPr>
            </w:pPr>
            <w:r w:rsidRPr="00CD44CB">
              <w:rPr>
                <w:rFonts w:asciiTheme="minorHAnsi" w:hAnsiTheme="minorHAnsi" w:cstheme="minorHAnsi"/>
                <w:b/>
              </w:rPr>
              <w:t>√</w:t>
            </w:r>
          </w:p>
        </w:tc>
      </w:tr>
    </w:tbl>
    <w:p w:rsidR="00D041BA" w:rsidRPr="00864981" w:rsidRDefault="00D041BA" w:rsidP="00D041BA">
      <w:pPr>
        <w:pStyle w:val="Heading2"/>
        <w:spacing w:before="240" w:after="120"/>
        <w:rPr>
          <w:rFonts w:asciiTheme="minorHAnsi" w:eastAsiaTheme="minorHAnsi" w:hAnsiTheme="minorHAnsi" w:cstheme="minorHAnsi"/>
          <w:b/>
          <w:i/>
          <w:color w:val="0070C0"/>
          <w:sz w:val="28"/>
          <w:szCs w:val="28"/>
          <w:lang w:eastAsia="en-GB"/>
        </w:rPr>
      </w:pPr>
      <w:bookmarkStart w:id="58" w:name="_Toc65242944"/>
      <w:r w:rsidRPr="005307CB">
        <w:rPr>
          <w:rFonts w:asciiTheme="minorHAnsi" w:eastAsiaTheme="minorHAnsi" w:hAnsiTheme="minorHAnsi" w:cstheme="minorHAnsi"/>
          <w:b/>
          <w:i/>
          <w:color w:val="0070C0"/>
          <w:sz w:val="28"/>
          <w:szCs w:val="28"/>
          <w:lang w:eastAsia="en-GB"/>
        </w:rPr>
        <w:t>Details</w:t>
      </w:r>
      <w:bookmarkEnd w:id="58"/>
    </w:p>
    <w:p w:rsidR="00D041BA" w:rsidRDefault="00D041BA" w:rsidP="00D041BA">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At the Preferred Scale and Distribution of Development stage of consultation</w:t>
      </w:r>
      <w:r w:rsidRPr="007B545C">
        <w:rPr>
          <w:rFonts w:asciiTheme="minorHAnsi" w:hAnsiTheme="minorHAnsi" w:cstheme="minorHAnsi"/>
          <w:szCs w:val="24"/>
          <w:lang w:eastAsia="en-GB"/>
        </w:rPr>
        <w:t xml:space="preserve"> </w:t>
      </w:r>
      <w:r>
        <w:rPr>
          <w:rFonts w:asciiTheme="minorHAnsi" w:hAnsiTheme="minorHAnsi" w:cstheme="minorHAnsi"/>
          <w:szCs w:val="24"/>
          <w:lang w:eastAsia="en-GB"/>
        </w:rPr>
        <w:t xml:space="preserve">Table 2 on page 21 </w:t>
      </w:r>
      <w:r w:rsidR="00FD3614">
        <w:rPr>
          <w:rFonts w:asciiTheme="minorHAnsi" w:hAnsiTheme="minorHAnsi" w:cstheme="minorHAnsi"/>
          <w:szCs w:val="24"/>
          <w:lang w:eastAsia="en-GB"/>
        </w:rPr>
        <w:t xml:space="preserve">of the consultation document </w:t>
      </w:r>
      <w:r>
        <w:rPr>
          <w:rFonts w:asciiTheme="minorHAnsi" w:hAnsiTheme="minorHAnsi" w:cstheme="minorHAnsi"/>
          <w:szCs w:val="24"/>
          <w:lang w:eastAsia="en-GB"/>
        </w:rPr>
        <w:t>stated the guideline figures for Market Drayton to be 1,200 for housing and 13 hectares of employment land</w:t>
      </w:r>
      <w:r w:rsidRPr="00122B98">
        <w:rPr>
          <w:rFonts w:asciiTheme="minorHAnsi" w:hAnsiTheme="minorHAnsi" w:cstheme="minorHAnsi"/>
          <w:szCs w:val="24"/>
          <w:lang w:eastAsia="en-GB"/>
        </w:rPr>
        <w:t xml:space="preserve"> to balance </w:t>
      </w:r>
      <w:r>
        <w:rPr>
          <w:rFonts w:asciiTheme="minorHAnsi" w:hAnsiTheme="minorHAnsi" w:cstheme="minorHAnsi"/>
          <w:szCs w:val="24"/>
          <w:lang w:eastAsia="en-GB"/>
        </w:rPr>
        <w:t xml:space="preserve">that </w:t>
      </w:r>
      <w:r w:rsidRPr="00122B98">
        <w:rPr>
          <w:rFonts w:asciiTheme="minorHAnsi" w:hAnsiTheme="minorHAnsi" w:cstheme="minorHAnsi"/>
          <w:szCs w:val="24"/>
          <w:lang w:eastAsia="en-GB"/>
        </w:rPr>
        <w:t>housing</w:t>
      </w:r>
      <w:r>
        <w:rPr>
          <w:rFonts w:asciiTheme="minorHAnsi" w:hAnsiTheme="minorHAnsi" w:cstheme="minorHAnsi"/>
          <w:szCs w:val="24"/>
          <w:lang w:eastAsia="en-GB"/>
        </w:rPr>
        <w:t xml:space="preserve">.  Based on Table 7 on page 42, our understanding is that the calculation of this employment land figure would have been: </w:t>
      </w:r>
    </w:p>
    <w:p w:rsidR="00D041BA" w:rsidRDefault="00D041BA" w:rsidP="00D041BA">
      <w:pPr>
        <w:pStyle w:val="ListParagraph"/>
        <w:spacing w:before="240" w:after="240"/>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1,200 x 42.25 / 10,000 / 40% = 12.68 Ha, which rounds to 13 Ha.</w:t>
      </w:r>
    </w:p>
    <w:p w:rsidR="00D041BA" w:rsidRDefault="00D041BA" w:rsidP="00D041BA">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That 13 Ha is the figure shown in the “ ‘Balanced’ employment from housing” column of Table 4.2 above.</w:t>
      </w:r>
    </w:p>
    <w:p w:rsidR="00D041BA" w:rsidRDefault="00D041BA" w:rsidP="00D041BA">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At the Preferred Sites stage of consultation the two guideline figures remained the same. </w:t>
      </w:r>
    </w:p>
    <w:p w:rsidR="00D041BA" w:rsidRDefault="00D041BA" w:rsidP="00D041BA">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In this consultation</w:t>
      </w:r>
      <w:r w:rsidRPr="00D041BA">
        <w:rPr>
          <w:rFonts w:asciiTheme="minorHAnsi" w:hAnsiTheme="minorHAnsi" w:cstheme="minorHAnsi"/>
          <w:szCs w:val="24"/>
          <w:lang w:eastAsia="en-GB"/>
        </w:rPr>
        <w:t xml:space="preserve"> </w:t>
      </w:r>
      <w:r>
        <w:rPr>
          <w:rFonts w:asciiTheme="minorHAnsi" w:hAnsiTheme="minorHAnsi" w:cstheme="minorHAnsi"/>
          <w:szCs w:val="24"/>
          <w:lang w:eastAsia="en-GB"/>
        </w:rPr>
        <w:t>and the previous Regulation 18 Pre-submission Draft Plan stage, the housing guideline remains the same, at 1,200. However, the employment land guideline has been increased by 22 Ha to 35 Ha, presumably only because land to meet that guideline is already in the pipeline, so no new allocations are proposed.</w:t>
      </w:r>
      <w:r w:rsidR="000E209B">
        <w:rPr>
          <w:rFonts w:asciiTheme="minorHAnsi" w:hAnsiTheme="minorHAnsi" w:cstheme="minorHAnsi"/>
          <w:szCs w:val="24"/>
          <w:lang w:eastAsia="en-GB"/>
        </w:rPr>
        <w:t xml:space="preserve">  </w:t>
      </w:r>
      <w:r w:rsidR="000E209B">
        <w:rPr>
          <w:rFonts w:asciiTheme="minorHAnsi" w:hAnsiTheme="minorHAnsi" w:cstheme="minorHAnsi"/>
          <w:lang w:eastAsia="en-GB"/>
        </w:rPr>
        <w:t>No actual quantified justification has been evidenced for this large proposed increase in the employment land guideline, or for the departure from balance with the housing guideline.</w:t>
      </w:r>
    </w:p>
    <w:p w:rsidR="00D041BA" w:rsidRPr="000E209B" w:rsidRDefault="00D041BA" w:rsidP="000E209B">
      <w:pPr>
        <w:pStyle w:val="ListParagraph"/>
        <w:numPr>
          <w:ilvl w:val="1"/>
          <w:numId w:val="1"/>
        </w:numPr>
        <w:spacing w:before="240" w:after="240"/>
        <w:ind w:left="0" w:hanging="567"/>
        <w:contextualSpacing w:val="0"/>
        <w:textAlignment w:val="baseline"/>
        <w:rPr>
          <w:rFonts w:asciiTheme="minorHAnsi" w:hAnsiTheme="minorHAnsi" w:cstheme="minorHAnsi"/>
          <w:szCs w:val="24"/>
        </w:rPr>
      </w:pPr>
      <w:r>
        <w:rPr>
          <w:rFonts w:asciiTheme="minorHAnsi" w:hAnsiTheme="minorHAnsi" w:cstheme="minorHAnsi"/>
          <w:szCs w:val="24"/>
          <w:lang w:eastAsia="en-GB"/>
        </w:rPr>
        <w:t>This does mean that housing and employment land are not balanced locally, raising issues of sustainability, partly because of increased levels of commuting</w:t>
      </w:r>
      <w:r w:rsidR="000E209B">
        <w:rPr>
          <w:rFonts w:asciiTheme="minorHAnsi" w:hAnsiTheme="minorHAnsi" w:cstheme="minorHAnsi"/>
          <w:szCs w:val="24"/>
          <w:lang w:eastAsia="en-GB"/>
        </w:rPr>
        <w:t>.  To that extent, the employment land guideline is not justified by proportionate evidence.</w:t>
      </w:r>
    </w:p>
    <w:p w:rsidR="00D041BA" w:rsidRPr="00635474" w:rsidRDefault="00D041BA" w:rsidP="00D041BA">
      <w:pPr>
        <w:pStyle w:val="Heading2"/>
        <w:keepNext w:val="0"/>
        <w:spacing w:before="240" w:after="120"/>
        <w:rPr>
          <w:rFonts w:asciiTheme="minorHAnsi" w:eastAsiaTheme="minorHAnsi" w:hAnsiTheme="minorHAnsi" w:cstheme="minorHAnsi"/>
          <w:b/>
          <w:i/>
          <w:color w:val="0070C0"/>
          <w:sz w:val="28"/>
          <w:szCs w:val="28"/>
          <w:lang w:eastAsia="en-GB"/>
        </w:rPr>
      </w:pPr>
      <w:bookmarkStart w:id="59" w:name="_Toc65242945"/>
      <w:r w:rsidRPr="005307CB">
        <w:rPr>
          <w:rFonts w:asciiTheme="minorHAnsi" w:eastAsiaTheme="minorHAnsi" w:hAnsiTheme="minorHAnsi" w:cstheme="minorHAnsi"/>
          <w:b/>
          <w:i/>
          <w:color w:val="0070C0"/>
          <w:sz w:val="28"/>
          <w:szCs w:val="28"/>
          <w:lang w:eastAsia="en-GB"/>
        </w:rPr>
        <w:t>Modification(s) considered necessary</w:t>
      </w:r>
      <w:bookmarkEnd w:id="59"/>
    </w:p>
    <w:p w:rsidR="00D041BA" w:rsidRDefault="00D041BA" w:rsidP="00D041BA">
      <w:pPr>
        <w:pStyle w:val="ListParagraph"/>
        <w:numPr>
          <w:ilvl w:val="1"/>
          <w:numId w:val="1"/>
        </w:numPr>
        <w:spacing w:before="240"/>
        <w:ind w:left="0" w:hanging="709"/>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The quantum of employment land proposed needs to be reappraised.</w:t>
      </w:r>
    </w:p>
    <w:p w:rsidR="00650C0E" w:rsidRDefault="00650C0E" w:rsidP="00650C0E">
      <w:pPr>
        <w:pStyle w:val="ListParagraph"/>
        <w:spacing w:before="240"/>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br w:type="page"/>
      </w:r>
    </w:p>
    <w:p w:rsidR="000E209B" w:rsidRDefault="000E209B" w:rsidP="000E209B">
      <w:pPr>
        <w:pStyle w:val="ListParagraph"/>
        <w:keepNext/>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60" w:name="_Toc65242946"/>
      <w:r>
        <w:rPr>
          <w:rFonts w:asciiTheme="minorHAnsi" w:hAnsiTheme="minorHAnsi" w:cstheme="minorHAnsi"/>
          <w:b/>
          <w:color w:val="0070C0"/>
          <w:sz w:val="36"/>
          <w:szCs w:val="36"/>
          <w:lang w:eastAsia="en-GB"/>
        </w:rPr>
        <w:lastRenderedPageBreak/>
        <w:t>S14 Oswestry Place Plan area</w:t>
      </w:r>
      <w:bookmarkEnd w:id="60"/>
    </w:p>
    <w:p w:rsidR="000E209B" w:rsidRPr="00FE2663" w:rsidRDefault="000E209B" w:rsidP="000E209B">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0E209B" w:rsidRPr="00FE2663" w:rsidRDefault="000E209B" w:rsidP="000E209B">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0E209B" w:rsidRPr="00A17498" w:rsidTr="00B04729">
        <w:trPr>
          <w:trHeight w:val="283"/>
        </w:trPr>
        <w:tc>
          <w:tcPr>
            <w:tcW w:w="567" w:type="dxa"/>
            <w:tcBorders>
              <w:right w:val="single" w:sz="4" w:space="0" w:color="auto"/>
            </w:tcBorders>
            <w:vAlign w:val="center"/>
          </w:tcPr>
          <w:p w:rsidR="000E209B" w:rsidRPr="00A17498" w:rsidRDefault="000E209B" w:rsidP="00B04729">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0E209B" w:rsidRPr="001251D0" w:rsidRDefault="000E209B" w:rsidP="00B04729">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0E209B" w:rsidRPr="00A17498" w:rsidRDefault="000E209B" w:rsidP="000E209B">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FD3614" w:rsidRPr="00A17498" w:rsidTr="00B04729">
        <w:trPr>
          <w:trHeight w:val="283"/>
        </w:trPr>
        <w:tc>
          <w:tcPr>
            <w:tcW w:w="1134" w:type="dxa"/>
            <w:tcBorders>
              <w:top w:val="nil"/>
              <w:left w:val="nil"/>
              <w:bottom w:val="nil"/>
              <w:right w:val="single" w:sz="4" w:space="0" w:color="auto"/>
            </w:tcBorders>
            <w:vAlign w:val="center"/>
          </w:tcPr>
          <w:p w:rsidR="00FD3614" w:rsidRPr="00A17498" w:rsidRDefault="00FD3614" w:rsidP="00B04729">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FD3614" w:rsidRPr="00A17498" w:rsidRDefault="00FD3614" w:rsidP="00B04729">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FD3614" w:rsidRPr="00A17498" w:rsidRDefault="00FD3614" w:rsidP="00B04729">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FD3614" w:rsidRPr="00A17498" w:rsidRDefault="00FD3614" w:rsidP="00B04729">
            <w:pPr>
              <w:pStyle w:val="BodyText"/>
              <w:spacing w:after="0"/>
              <w:rPr>
                <w:rFonts w:asciiTheme="minorHAnsi" w:hAnsiTheme="minorHAnsi" w:cstheme="minorHAnsi"/>
              </w:rPr>
            </w:pPr>
            <w:r>
              <w:rPr>
                <w:rFonts w:asciiTheme="minorHAnsi" w:hAnsiTheme="minorHAnsi" w:cstheme="minorHAnsi"/>
              </w:rPr>
              <w:t>S14</w:t>
            </w:r>
          </w:p>
        </w:tc>
      </w:tr>
      <w:tr w:rsidR="00FD3614" w:rsidRPr="00A17498" w:rsidTr="00B04729">
        <w:trPr>
          <w:trHeight w:val="283"/>
        </w:trPr>
        <w:tc>
          <w:tcPr>
            <w:tcW w:w="1134" w:type="dxa"/>
            <w:tcBorders>
              <w:top w:val="nil"/>
              <w:left w:val="nil"/>
              <w:bottom w:val="nil"/>
              <w:right w:val="single" w:sz="4" w:space="0" w:color="auto"/>
            </w:tcBorders>
            <w:vAlign w:val="center"/>
          </w:tcPr>
          <w:p w:rsidR="00FD3614" w:rsidRPr="00A17498" w:rsidRDefault="00FD3614" w:rsidP="00B04729">
            <w:pPr>
              <w:pStyle w:val="BodyText"/>
              <w:spacing w:after="0"/>
              <w:rPr>
                <w:rFonts w:asciiTheme="minorHAnsi" w:hAnsiTheme="minorHAnsi" w:cstheme="minorHAnsi"/>
              </w:rPr>
            </w:pPr>
            <w:r w:rsidRPr="00A17498">
              <w:rPr>
                <w:rFonts w:asciiTheme="minorHAnsi" w:hAnsiTheme="minorHAnsi" w:cstheme="minorHAnsi"/>
              </w:rPr>
              <w:t>Site</w:t>
            </w:r>
          </w:p>
        </w:tc>
        <w:tc>
          <w:tcPr>
            <w:tcW w:w="2410" w:type="dxa"/>
            <w:tcBorders>
              <w:left w:val="single" w:sz="4" w:space="0" w:color="auto"/>
              <w:right w:val="single" w:sz="4" w:space="0" w:color="auto"/>
            </w:tcBorders>
            <w:vAlign w:val="center"/>
          </w:tcPr>
          <w:p w:rsidR="00FD3614" w:rsidRPr="00FD3614" w:rsidRDefault="00FD3614" w:rsidP="00B04729">
            <w:pPr>
              <w:pStyle w:val="BodyText"/>
              <w:spacing w:after="0"/>
              <w:rPr>
                <w:rFonts w:asciiTheme="minorHAnsi" w:hAnsiTheme="minorHAnsi" w:cstheme="minorHAnsi"/>
              </w:rPr>
            </w:pPr>
            <w:r w:rsidRPr="00FD3614">
              <w:rPr>
                <w:rFonts w:asciiTheme="minorHAnsi" w:eastAsiaTheme="minorHAnsi" w:hAnsiTheme="minorHAnsi" w:cstheme="minorHAnsi"/>
                <w:color w:val="000000"/>
              </w:rPr>
              <w:t>Land at Park Hall (PKH002, PKH011, PKH013, PKH029, PKH031, and PKH032)</w:t>
            </w:r>
          </w:p>
        </w:tc>
        <w:tc>
          <w:tcPr>
            <w:tcW w:w="1276" w:type="dxa"/>
            <w:tcBorders>
              <w:top w:val="nil"/>
              <w:left w:val="single" w:sz="4" w:space="0" w:color="auto"/>
              <w:bottom w:val="nil"/>
              <w:right w:val="single" w:sz="4" w:space="0" w:color="auto"/>
            </w:tcBorders>
            <w:vAlign w:val="center"/>
          </w:tcPr>
          <w:p w:rsidR="00FD3614" w:rsidRPr="00A17498" w:rsidRDefault="00FD3614" w:rsidP="00B04729">
            <w:pPr>
              <w:pStyle w:val="BodyText"/>
              <w:spacing w:after="0"/>
              <w:rPr>
                <w:rFonts w:asciiTheme="minorHAnsi" w:hAnsiTheme="minorHAnsi" w:cstheme="minorHAnsi"/>
              </w:rPr>
            </w:pPr>
            <w:r w:rsidRPr="00A17498">
              <w:rPr>
                <w:rFonts w:asciiTheme="minorHAnsi" w:hAnsiTheme="minorHAnsi" w:cstheme="minorHAnsi"/>
              </w:rPr>
              <w:t>Policy map</w:t>
            </w:r>
          </w:p>
        </w:tc>
        <w:tc>
          <w:tcPr>
            <w:tcW w:w="4961" w:type="dxa"/>
            <w:tcBorders>
              <w:left w:val="single" w:sz="4" w:space="0" w:color="auto"/>
            </w:tcBorders>
            <w:vAlign w:val="center"/>
          </w:tcPr>
          <w:p w:rsidR="00FD3614" w:rsidRPr="00A17498" w:rsidRDefault="00265DE2" w:rsidP="00B04729">
            <w:pPr>
              <w:pStyle w:val="BodyText"/>
              <w:spacing w:after="0"/>
              <w:rPr>
                <w:rFonts w:asciiTheme="minorHAnsi" w:hAnsiTheme="minorHAnsi" w:cstheme="minorHAnsi"/>
              </w:rPr>
            </w:pPr>
            <w:r w:rsidRPr="00265DE2">
              <w:rPr>
                <w:rFonts w:asciiTheme="minorHAnsi" w:hAnsiTheme="minorHAnsi" w:cstheme="minorHAnsi"/>
              </w:rPr>
              <w:t>S14. Oswestry Place Plan Area Inset Maps</w:t>
            </w:r>
          </w:p>
        </w:tc>
      </w:tr>
    </w:tbl>
    <w:p w:rsidR="000E209B" w:rsidRPr="00A17498" w:rsidRDefault="000E209B" w:rsidP="000E209B">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0E209B" w:rsidRPr="00B20DB7" w:rsidTr="00B04729">
        <w:trPr>
          <w:trHeight w:val="283"/>
        </w:trPr>
        <w:tc>
          <w:tcPr>
            <w:tcW w:w="4820" w:type="dxa"/>
            <w:tcBorders>
              <w:top w:val="nil"/>
              <w:left w:val="nil"/>
              <w:bottom w:val="nil"/>
              <w:right w:val="single" w:sz="4" w:space="0" w:color="auto"/>
            </w:tcBorders>
            <w:vAlign w:val="center"/>
          </w:tcPr>
          <w:p w:rsidR="000E209B" w:rsidRPr="00882F68" w:rsidRDefault="000E209B" w:rsidP="00B04729">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single" w:sz="4" w:space="0" w:color="auto"/>
              <w:left w:val="single" w:sz="4" w:space="0" w:color="auto"/>
              <w:bottom w:val="single" w:sz="4" w:space="0" w:color="auto"/>
              <w:right w:val="single" w:sz="4" w:space="0" w:color="auto"/>
            </w:tcBorders>
            <w:vAlign w:val="center"/>
          </w:tcPr>
          <w:p w:rsidR="000E209B" w:rsidRPr="00CD44CB" w:rsidRDefault="000E209B" w:rsidP="00B04729">
            <w:pPr>
              <w:rPr>
                <w:rFonts w:ascii="Arial" w:eastAsiaTheme="minorHAnsi" w:hAnsi="Arial" w:cs="Arial"/>
                <w:color w:val="000000"/>
                <w:sz w:val="20"/>
                <w:szCs w:val="20"/>
              </w:rPr>
            </w:pPr>
            <w:r w:rsidRPr="00CD44CB">
              <w:rPr>
                <w:rFonts w:ascii="Arial" w:eastAsiaTheme="minorHAnsi" w:hAnsi="Arial" w:cs="Arial"/>
                <w:color w:val="000000"/>
                <w:sz w:val="20"/>
                <w:szCs w:val="20"/>
              </w:rPr>
              <w:t>Yes:</w:t>
            </w:r>
          </w:p>
        </w:tc>
        <w:tc>
          <w:tcPr>
            <w:tcW w:w="567" w:type="dxa"/>
            <w:tcBorders>
              <w:top w:val="nil"/>
              <w:left w:val="single" w:sz="4" w:space="0" w:color="auto"/>
              <w:bottom w:val="nil"/>
              <w:right w:val="single" w:sz="4" w:space="0" w:color="auto"/>
            </w:tcBorders>
            <w:vAlign w:val="center"/>
          </w:tcPr>
          <w:p w:rsidR="000E209B" w:rsidRPr="00B20DB7" w:rsidRDefault="000E209B" w:rsidP="00B04729">
            <w:pPr>
              <w:rPr>
                <w:rFonts w:ascii="Verdana" w:eastAsiaTheme="minorHAnsi" w:hAnsi="Verdana" w:cs="Verdana"/>
                <w:color w:val="000000"/>
                <w:sz w:val="20"/>
                <w:szCs w:val="20"/>
              </w:rPr>
            </w:pPr>
          </w:p>
        </w:tc>
        <w:tc>
          <w:tcPr>
            <w:tcW w:w="993" w:type="dxa"/>
            <w:tcBorders>
              <w:top w:val="nil"/>
              <w:left w:val="single" w:sz="4" w:space="0" w:color="auto"/>
              <w:bottom w:val="nil"/>
              <w:right w:val="single" w:sz="4" w:space="0" w:color="auto"/>
            </w:tcBorders>
            <w:vAlign w:val="center"/>
          </w:tcPr>
          <w:p w:rsidR="000E209B" w:rsidRPr="00CD44CB" w:rsidRDefault="000E209B" w:rsidP="00B04729">
            <w:pPr>
              <w:rPr>
                <w:rFonts w:ascii="Arial" w:eastAsiaTheme="minorHAnsi" w:hAnsi="Arial" w:cs="Arial"/>
                <w:color w:val="000000"/>
                <w:sz w:val="20"/>
                <w:szCs w:val="20"/>
              </w:rPr>
            </w:pPr>
            <w:r w:rsidRPr="00CD44CB">
              <w:rPr>
                <w:rFonts w:ascii="Arial" w:eastAsiaTheme="minorHAnsi" w:hAnsi="Arial" w:cs="Arial"/>
                <w:color w:val="000000"/>
                <w:sz w:val="20"/>
                <w:szCs w:val="20"/>
              </w:rPr>
              <w:t>No:</w:t>
            </w:r>
          </w:p>
        </w:tc>
        <w:tc>
          <w:tcPr>
            <w:tcW w:w="567" w:type="dxa"/>
            <w:tcBorders>
              <w:left w:val="single" w:sz="4" w:space="0" w:color="auto"/>
            </w:tcBorders>
            <w:vAlign w:val="center"/>
          </w:tcPr>
          <w:p w:rsidR="000E209B" w:rsidRPr="00CD44CB" w:rsidRDefault="000E209B" w:rsidP="00B04729">
            <w:pPr>
              <w:pStyle w:val="ListParagraph"/>
              <w:spacing w:after="0"/>
              <w:contextualSpacing w:val="0"/>
              <w:rPr>
                <w:rFonts w:asciiTheme="minorHAnsi" w:hAnsiTheme="minorHAnsi" w:cstheme="minorHAnsi"/>
                <w:b/>
              </w:rPr>
            </w:pPr>
            <w:r w:rsidRPr="00CD44CB">
              <w:rPr>
                <w:rFonts w:asciiTheme="minorHAnsi" w:hAnsiTheme="minorHAnsi" w:cstheme="minorHAnsi"/>
                <w:b/>
              </w:rPr>
              <w:t>√</w:t>
            </w:r>
          </w:p>
        </w:tc>
      </w:tr>
    </w:tbl>
    <w:p w:rsidR="000E209B" w:rsidRDefault="000E209B" w:rsidP="000E209B">
      <w:pPr>
        <w:pStyle w:val="Heading2"/>
        <w:spacing w:before="240" w:after="120"/>
        <w:rPr>
          <w:rFonts w:asciiTheme="minorHAnsi" w:eastAsiaTheme="minorHAnsi" w:hAnsiTheme="minorHAnsi" w:cstheme="minorHAnsi"/>
          <w:b/>
          <w:i/>
          <w:color w:val="0070C0"/>
          <w:sz w:val="28"/>
          <w:szCs w:val="28"/>
          <w:lang w:eastAsia="en-GB"/>
        </w:rPr>
      </w:pPr>
      <w:bookmarkStart w:id="61" w:name="_Toc65242947"/>
      <w:r w:rsidRPr="005307CB">
        <w:rPr>
          <w:rFonts w:asciiTheme="minorHAnsi" w:eastAsiaTheme="minorHAnsi" w:hAnsiTheme="minorHAnsi" w:cstheme="minorHAnsi"/>
          <w:b/>
          <w:i/>
          <w:color w:val="0070C0"/>
          <w:sz w:val="28"/>
          <w:szCs w:val="28"/>
          <w:lang w:eastAsia="en-GB"/>
        </w:rPr>
        <w:t>Details</w:t>
      </w:r>
      <w:bookmarkEnd w:id="61"/>
    </w:p>
    <w:p w:rsidR="00D245D1"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At the Preferred Scale and Distribution of Development stage of consultation</w:t>
      </w:r>
      <w:r w:rsidRPr="007B545C">
        <w:rPr>
          <w:rFonts w:asciiTheme="minorHAnsi" w:hAnsiTheme="minorHAnsi" w:cstheme="minorHAnsi"/>
          <w:szCs w:val="24"/>
          <w:lang w:eastAsia="en-GB"/>
        </w:rPr>
        <w:t xml:space="preserve"> </w:t>
      </w:r>
      <w:r>
        <w:rPr>
          <w:rFonts w:asciiTheme="minorHAnsi" w:hAnsiTheme="minorHAnsi" w:cstheme="minorHAnsi"/>
          <w:szCs w:val="24"/>
          <w:lang w:eastAsia="en-GB"/>
        </w:rPr>
        <w:t xml:space="preserve">Table 2 on page 21 </w:t>
      </w:r>
      <w:r w:rsidR="00FD3614">
        <w:rPr>
          <w:rFonts w:asciiTheme="minorHAnsi" w:hAnsiTheme="minorHAnsi" w:cstheme="minorHAnsi"/>
          <w:szCs w:val="24"/>
          <w:lang w:eastAsia="en-GB"/>
        </w:rPr>
        <w:t xml:space="preserve">of the consultation document </w:t>
      </w:r>
      <w:r>
        <w:rPr>
          <w:rFonts w:asciiTheme="minorHAnsi" w:hAnsiTheme="minorHAnsi" w:cstheme="minorHAnsi"/>
          <w:szCs w:val="24"/>
          <w:lang w:eastAsia="en-GB"/>
        </w:rPr>
        <w:t>stated the guideline figures for Oswestry to be 1,800 for housing and 19 hectares of employment land</w:t>
      </w:r>
      <w:r w:rsidRPr="00122B98">
        <w:rPr>
          <w:rFonts w:asciiTheme="minorHAnsi" w:hAnsiTheme="minorHAnsi" w:cstheme="minorHAnsi"/>
          <w:szCs w:val="24"/>
          <w:lang w:eastAsia="en-GB"/>
        </w:rPr>
        <w:t xml:space="preserve"> to balance </w:t>
      </w:r>
      <w:r>
        <w:rPr>
          <w:rFonts w:asciiTheme="minorHAnsi" w:hAnsiTheme="minorHAnsi" w:cstheme="minorHAnsi"/>
          <w:szCs w:val="24"/>
          <w:lang w:eastAsia="en-GB"/>
        </w:rPr>
        <w:t xml:space="preserve">that </w:t>
      </w:r>
      <w:r w:rsidRPr="00122B98">
        <w:rPr>
          <w:rFonts w:asciiTheme="minorHAnsi" w:hAnsiTheme="minorHAnsi" w:cstheme="minorHAnsi"/>
          <w:szCs w:val="24"/>
          <w:lang w:eastAsia="en-GB"/>
        </w:rPr>
        <w:t>housing</w:t>
      </w:r>
      <w:r>
        <w:rPr>
          <w:rFonts w:asciiTheme="minorHAnsi" w:hAnsiTheme="minorHAnsi" w:cstheme="minorHAnsi"/>
          <w:szCs w:val="24"/>
          <w:lang w:eastAsia="en-GB"/>
        </w:rPr>
        <w:t xml:space="preserve">.  Based on Table 7 on page 42, our understanding is that the calculation of this employment land figure would have been: </w:t>
      </w:r>
    </w:p>
    <w:p w:rsidR="00D245D1" w:rsidRPr="007D7925" w:rsidRDefault="00D245D1" w:rsidP="00D245D1">
      <w:pPr>
        <w:pStyle w:val="Default"/>
        <w:rPr>
          <w:rFonts w:ascii="Arial" w:hAnsi="Arial" w:cs="Arial"/>
          <w:sz w:val="23"/>
          <w:szCs w:val="23"/>
        </w:rPr>
      </w:pPr>
      <w:r>
        <w:rPr>
          <w:rFonts w:asciiTheme="minorHAnsi" w:hAnsiTheme="minorHAnsi" w:cstheme="minorHAnsi"/>
          <w:lang w:eastAsia="en-GB"/>
        </w:rPr>
        <w:t>1,800 x 42.25 / 10,000 / 40% = 19.01 Ha, which rounds to 19 Ha.</w:t>
      </w:r>
      <w:r w:rsidRPr="00CD7D77">
        <w:rPr>
          <w:sz w:val="23"/>
          <w:szCs w:val="23"/>
        </w:rPr>
        <w:t xml:space="preserve"> </w:t>
      </w:r>
    </w:p>
    <w:p w:rsidR="00D245D1"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That 19 Ha is the equivalent figure to the 20 Ha shown in the “ ‘Balanced’ employment from housing” column of Table 4.2 above.  The figure we show in Table 4.2 has increased because the housing guideline has </w:t>
      </w:r>
      <w:r w:rsidR="00265DE2">
        <w:rPr>
          <w:rFonts w:asciiTheme="minorHAnsi" w:hAnsiTheme="minorHAnsi" w:cstheme="minorHAnsi"/>
          <w:szCs w:val="24"/>
          <w:lang w:eastAsia="en-GB"/>
        </w:rPr>
        <w:t xml:space="preserve">now </w:t>
      </w:r>
      <w:r>
        <w:rPr>
          <w:rFonts w:asciiTheme="minorHAnsi" w:hAnsiTheme="minorHAnsi" w:cstheme="minorHAnsi"/>
          <w:szCs w:val="24"/>
          <w:lang w:eastAsia="en-GB"/>
        </w:rPr>
        <w:t>been increased to 1,900 dwellings.</w:t>
      </w:r>
    </w:p>
    <w:p w:rsidR="00D245D1"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At the Preferred Sites stage of consultation the two guideline figures remained the same. </w:t>
      </w:r>
    </w:p>
    <w:p w:rsidR="00D245D1"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In this consultation</w:t>
      </w:r>
      <w:r w:rsidRPr="00D245D1">
        <w:rPr>
          <w:rFonts w:asciiTheme="minorHAnsi" w:hAnsiTheme="minorHAnsi" w:cstheme="minorHAnsi"/>
          <w:szCs w:val="24"/>
          <w:lang w:eastAsia="en-GB"/>
        </w:rPr>
        <w:t xml:space="preserve"> </w:t>
      </w:r>
      <w:r>
        <w:rPr>
          <w:rFonts w:asciiTheme="minorHAnsi" w:hAnsiTheme="minorHAnsi" w:cstheme="minorHAnsi"/>
          <w:szCs w:val="24"/>
          <w:lang w:eastAsia="en-GB"/>
        </w:rPr>
        <w:t>and the previous Regulation 18 Pre-submission Draft Plan stage, the housing guideline has been increased by 100 to 1,900, but the employment land guideline has been increased by 38 Ha to 57 Ha, presumably only because land to meet that guideline is already in the pipeline, so no new allocations are proposed.</w:t>
      </w:r>
      <w:r w:rsidRPr="00D245D1">
        <w:rPr>
          <w:rFonts w:asciiTheme="minorHAnsi" w:hAnsiTheme="minorHAnsi" w:cstheme="minorHAnsi"/>
          <w:lang w:eastAsia="en-GB"/>
        </w:rPr>
        <w:t xml:space="preserve"> </w:t>
      </w:r>
      <w:r>
        <w:rPr>
          <w:rFonts w:asciiTheme="minorHAnsi" w:hAnsiTheme="minorHAnsi" w:cstheme="minorHAnsi"/>
          <w:lang w:eastAsia="en-GB"/>
        </w:rPr>
        <w:t>No actual quantified justification has been evidenced for this large proposed increase in the employment land guideline, or for the departure from balance with the housing guideline.</w:t>
      </w:r>
    </w:p>
    <w:p w:rsidR="00D245D1"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This does mean that housing and employment land are not balanced locally, raising issues of sustainability, partly because of increased levels of commuting.</w:t>
      </w:r>
      <w:r w:rsidRPr="00D245D1">
        <w:rPr>
          <w:rFonts w:asciiTheme="minorHAnsi" w:hAnsiTheme="minorHAnsi" w:cstheme="minorHAnsi"/>
          <w:szCs w:val="24"/>
          <w:lang w:eastAsia="en-GB"/>
        </w:rPr>
        <w:t xml:space="preserve"> </w:t>
      </w:r>
      <w:r w:rsidR="00FD3614">
        <w:rPr>
          <w:rFonts w:asciiTheme="minorHAnsi" w:hAnsiTheme="minorHAnsi" w:cstheme="minorHAnsi"/>
          <w:szCs w:val="24"/>
          <w:lang w:eastAsia="en-GB"/>
        </w:rPr>
        <w:t xml:space="preserve"> </w:t>
      </w:r>
      <w:r>
        <w:rPr>
          <w:rFonts w:asciiTheme="minorHAnsi" w:hAnsiTheme="minorHAnsi" w:cstheme="minorHAnsi"/>
          <w:szCs w:val="24"/>
          <w:lang w:eastAsia="en-GB"/>
        </w:rPr>
        <w:t>To that extent, the employment land guideline is not justified by proportionate evidence.</w:t>
      </w:r>
    </w:p>
    <w:p w:rsidR="00D245D1" w:rsidRDefault="00D245D1" w:rsidP="00D245D1">
      <w:pPr>
        <w:pStyle w:val="ListParagraph"/>
        <w:numPr>
          <w:ilvl w:val="1"/>
          <w:numId w:val="1"/>
        </w:numPr>
        <w:spacing w:before="12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As to the proposed </w:t>
      </w:r>
      <w:r w:rsidR="00FB0BE9">
        <w:rPr>
          <w:rFonts w:asciiTheme="minorHAnsi" w:hAnsiTheme="minorHAnsi" w:cstheme="minorHAnsi"/>
          <w:szCs w:val="24"/>
          <w:lang w:eastAsia="en-GB"/>
        </w:rPr>
        <w:t>allocations at Park Hall</w:t>
      </w:r>
      <w:r>
        <w:rPr>
          <w:rFonts w:asciiTheme="minorHAnsi" w:hAnsiTheme="minorHAnsi" w:cstheme="minorHAnsi"/>
          <w:szCs w:val="24"/>
          <w:lang w:eastAsia="en-GB"/>
        </w:rPr>
        <w:t>:</w:t>
      </w:r>
    </w:p>
    <w:p w:rsidR="00D245D1" w:rsidRPr="0072639C" w:rsidRDefault="00FB0BE9" w:rsidP="002427CD">
      <w:pPr>
        <w:pStyle w:val="ListParagraph"/>
        <w:numPr>
          <w:ilvl w:val="0"/>
          <w:numId w:val="23"/>
        </w:numPr>
        <w:spacing w:before="120"/>
        <w:ind w:left="567" w:hanging="567"/>
        <w:contextualSpacing w:val="0"/>
        <w:textAlignment w:val="baseline"/>
        <w:rPr>
          <w:rFonts w:asciiTheme="minorHAnsi" w:hAnsiTheme="minorHAnsi" w:cstheme="minorHAnsi"/>
          <w:color w:val="000000"/>
          <w:szCs w:val="24"/>
        </w:rPr>
      </w:pPr>
      <w:r>
        <w:rPr>
          <w:rFonts w:asciiTheme="minorHAnsi" w:hAnsiTheme="minorHAnsi" w:cstheme="minorHAnsi"/>
          <w:color w:val="000000"/>
          <w:szCs w:val="24"/>
        </w:rPr>
        <w:t>Clause 2 of policy S14 indicates that the Park Hall allocations were</w:t>
      </w:r>
      <w:r w:rsidR="00D245D1" w:rsidRPr="00066860">
        <w:rPr>
          <w:rFonts w:asciiTheme="minorHAnsi" w:hAnsiTheme="minorHAnsi" w:cstheme="minorHAnsi"/>
          <w:color w:val="000000"/>
          <w:szCs w:val="24"/>
        </w:rPr>
        <w:t xml:space="preserve"> in response to the principles outlined in the Oswestry &amp; District Civic Society’s “Oswestry 2050” proposals.  </w:t>
      </w:r>
      <w:r>
        <w:rPr>
          <w:rFonts w:asciiTheme="minorHAnsi" w:hAnsiTheme="minorHAnsi" w:cstheme="minorHAnsi"/>
          <w:color w:val="000000"/>
          <w:szCs w:val="24"/>
        </w:rPr>
        <w:t xml:space="preserve">That </w:t>
      </w:r>
      <w:r w:rsidR="0072639C" w:rsidRPr="00265DE2">
        <w:rPr>
          <w:rFonts w:asciiTheme="minorHAnsi" w:hAnsiTheme="minorHAnsi" w:cstheme="minorHAnsi"/>
          <w:i/>
          <w:color w:val="000000"/>
          <w:szCs w:val="24"/>
        </w:rPr>
        <w:t>“</w:t>
      </w:r>
      <w:r w:rsidRPr="00265DE2">
        <w:rPr>
          <w:rFonts w:asciiTheme="minorHAnsi" w:hAnsiTheme="minorHAnsi" w:cstheme="minorHAnsi"/>
          <w:i/>
          <w:color w:val="000000"/>
          <w:szCs w:val="24"/>
        </w:rPr>
        <w:t xml:space="preserve">Oswestry 2050 Vision and Plan for a Sustainable Future - </w:t>
      </w:r>
      <w:r w:rsidRPr="00265DE2">
        <w:rPr>
          <w:rFonts w:asciiTheme="minorHAnsi" w:eastAsia="Times New Roman" w:hAnsiTheme="minorHAnsi" w:cstheme="minorHAnsi"/>
          <w:i/>
          <w:color w:val="000000"/>
          <w:szCs w:val="24"/>
        </w:rPr>
        <w:t>Looking for the Big Picture</w:t>
      </w:r>
      <w:r w:rsidR="0072639C" w:rsidRPr="00265DE2">
        <w:rPr>
          <w:rFonts w:asciiTheme="minorHAnsi" w:eastAsia="Times New Roman" w:hAnsiTheme="minorHAnsi" w:cstheme="minorHAnsi"/>
          <w:i/>
          <w:color w:val="000000"/>
          <w:szCs w:val="24"/>
        </w:rPr>
        <w:t>”</w:t>
      </w:r>
      <w:r w:rsidR="0072639C">
        <w:rPr>
          <w:rFonts w:asciiTheme="minorHAnsi" w:eastAsia="Times New Roman" w:hAnsiTheme="minorHAnsi" w:cstheme="minorHAnsi"/>
          <w:color w:val="000000"/>
          <w:szCs w:val="24"/>
        </w:rPr>
        <w:t xml:space="preserve"> is not offered in the Council’s Evidence Base.  Its </w:t>
      </w:r>
      <w:r w:rsidR="00D245D1" w:rsidRPr="0072639C">
        <w:rPr>
          <w:rFonts w:asciiTheme="minorHAnsi" w:hAnsiTheme="minorHAnsi" w:cstheme="minorHAnsi"/>
          <w:color w:val="000000"/>
          <w:szCs w:val="24"/>
        </w:rPr>
        <w:t xml:space="preserve">proposals were essentially, that there should be some sort of long term master plan for the general area encompassing Oswestry, Gobowen and Whittington, which should include a transport plan with the aim of reducing carbon emissions.  An impression of such a </w:t>
      </w:r>
      <w:r w:rsidR="00D245D1" w:rsidRPr="0072639C">
        <w:rPr>
          <w:rFonts w:asciiTheme="minorHAnsi" w:hAnsiTheme="minorHAnsi" w:cstheme="minorHAnsi"/>
          <w:color w:val="000000"/>
          <w:szCs w:val="24"/>
        </w:rPr>
        <w:lastRenderedPageBreak/>
        <w:t xml:space="preserve">plan was given within the “Oswestry 2050” outline, but it was not intended to be </w:t>
      </w:r>
      <w:r w:rsidR="00D245D1" w:rsidRPr="0072639C">
        <w:rPr>
          <w:rFonts w:asciiTheme="minorHAnsi" w:hAnsiTheme="minorHAnsi" w:cstheme="minorHAnsi"/>
          <w:color w:val="000000"/>
          <w:szCs w:val="24"/>
          <w:u w:val="single"/>
        </w:rPr>
        <w:t>the</w:t>
      </w:r>
      <w:r w:rsidR="00D245D1" w:rsidRPr="0072639C">
        <w:rPr>
          <w:rFonts w:asciiTheme="minorHAnsi" w:hAnsiTheme="minorHAnsi" w:cstheme="minorHAnsi"/>
          <w:color w:val="000000"/>
          <w:szCs w:val="24"/>
        </w:rPr>
        <w:t xml:space="preserve"> plan.  To make </w:t>
      </w:r>
      <w:r w:rsidR="0072639C">
        <w:rPr>
          <w:rFonts w:asciiTheme="minorHAnsi" w:hAnsiTheme="minorHAnsi" w:cstheme="minorHAnsi"/>
          <w:color w:val="000000"/>
          <w:szCs w:val="24"/>
        </w:rPr>
        <w:t>these Park Hall</w:t>
      </w:r>
      <w:r w:rsidR="00D245D1" w:rsidRPr="0072639C">
        <w:rPr>
          <w:rFonts w:asciiTheme="minorHAnsi" w:hAnsiTheme="minorHAnsi" w:cstheme="minorHAnsi"/>
          <w:color w:val="000000"/>
          <w:szCs w:val="24"/>
        </w:rPr>
        <w:t xml:space="preserve"> allocation</w:t>
      </w:r>
      <w:r w:rsidR="0072639C">
        <w:rPr>
          <w:rFonts w:asciiTheme="minorHAnsi" w:hAnsiTheme="minorHAnsi" w:cstheme="minorHAnsi"/>
          <w:color w:val="000000"/>
          <w:szCs w:val="24"/>
        </w:rPr>
        <w:t>s</w:t>
      </w:r>
      <w:r w:rsidR="00D245D1" w:rsidRPr="0072639C">
        <w:rPr>
          <w:rFonts w:asciiTheme="minorHAnsi" w:hAnsiTheme="minorHAnsi" w:cstheme="minorHAnsi"/>
          <w:color w:val="000000"/>
          <w:szCs w:val="24"/>
        </w:rPr>
        <w:t xml:space="preserve"> in the name of “Oswestry 2050” is to miss the point entirely.</w:t>
      </w:r>
      <w:r w:rsidR="0072639C">
        <w:rPr>
          <w:rFonts w:asciiTheme="minorHAnsi" w:hAnsiTheme="minorHAnsi" w:cstheme="minorHAnsi"/>
          <w:color w:val="000000"/>
          <w:szCs w:val="24"/>
        </w:rPr>
        <w:t xml:space="preserve">  Also, there was no mention within that plan of a mixed use ‘garden settlement’.</w:t>
      </w:r>
    </w:p>
    <w:p w:rsidR="00D245D1" w:rsidRPr="00066860" w:rsidRDefault="00D245D1" w:rsidP="002427CD">
      <w:pPr>
        <w:pStyle w:val="ListParagraph"/>
        <w:numPr>
          <w:ilvl w:val="0"/>
          <w:numId w:val="23"/>
        </w:numPr>
        <w:spacing w:before="120"/>
        <w:ind w:left="567" w:hanging="567"/>
        <w:contextualSpacing w:val="0"/>
        <w:textAlignment w:val="baseline"/>
        <w:rPr>
          <w:rFonts w:asciiTheme="minorHAnsi" w:hAnsiTheme="minorHAnsi" w:cstheme="minorHAnsi"/>
          <w:szCs w:val="24"/>
          <w:lang w:eastAsia="en-GB"/>
        </w:rPr>
      </w:pPr>
      <w:r w:rsidRPr="00066860">
        <w:rPr>
          <w:rFonts w:asciiTheme="minorHAnsi" w:hAnsiTheme="minorHAnsi" w:cstheme="minorHAnsi"/>
          <w:color w:val="000000"/>
          <w:szCs w:val="24"/>
        </w:rPr>
        <w:t xml:space="preserve">The proposal includes provision for key worker housing for the RJAH Hospital and Derwen College, which is to be welcomed.  However, no mechanism is proposed to ensure that this comes about, rather than market housing being supplied. </w:t>
      </w:r>
    </w:p>
    <w:p w:rsidR="00D245D1" w:rsidRPr="00BA512B" w:rsidRDefault="00D245D1" w:rsidP="002427CD">
      <w:pPr>
        <w:pStyle w:val="ListParagraph"/>
        <w:numPr>
          <w:ilvl w:val="0"/>
          <w:numId w:val="23"/>
        </w:numPr>
        <w:spacing w:before="120" w:after="240"/>
        <w:ind w:left="567" w:hanging="567"/>
        <w:contextualSpacing w:val="0"/>
        <w:textAlignment w:val="baseline"/>
        <w:rPr>
          <w:rFonts w:asciiTheme="minorHAnsi" w:hAnsiTheme="minorHAnsi" w:cstheme="minorHAnsi"/>
          <w:szCs w:val="24"/>
          <w:lang w:eastAsia="en-GB"/>
        </w:rPr>
      </w:pPr>
      <w:r w:rsidRPr="00066860">
        <w:rPr>
          <w:rFonts w:asciiTheme="minorHAnsi" w:hAnsiTheme="minorHAnsi" w:cstheme="minorHAnsi"/>
          <w:color w:val="000000"/>
          <w:szCs w:val="24"/>
        </w:rPr>
        <w:t xml:space="preserve">The site location itself presents conflicts.  Although put forward as an allocation for Oswestry, the site itself is </w:t>
      </w:r>
      <w:r w:rsidR="00BA512B" w:rsidRPr="00066860">
        <w:rPr>
          <w:rFonts w:asciiTheme="minorHAnsi" w:hAnsiTheme="minorHAnsi" w:cstheme="minorHAnsi"/>
          <w:color w:val="000000"/>
          <w:szCs w:val="24"/>
        </w:rPr>
        <w:t>some distance from Oswestry</w:t>
      </w:r>
      <w:r w:rsidR="00BA512B">
        <w:rPr>
          <w:rFonts w:asciiTheme="minorHAnsi" w:hAnsiTheme="minorHAnsi" w:cstheme="minorHAnsi"/>
          <w:color w:val="000000"/>
          <w:szCs w:val="24"/>
        </w:rPr>
        <w:t xml:space="preserve">, is </w:t>
      </w:r>
      <w:r w:rsidRPr="00066860">
        <w:rPr>
          <w:rFonts w:asciiTheme="minorHAnsi" w:hAnsiTheme="minorHAnsi" w:cstheme="minorHAnsi"/>
          <w:color w:val="000000"/>
          <w:szCs w:val="24"/>
        </w:rPr>
        <w:t xml:space="preserve">in Whittington Parish, but will benefit employment sites within Gobowen Parish.  </w:t>
      </w:r>
      <w:r w:rsidR="00BA512B">
        <w:rPr>
          <w:rFonts w:asciiTheme="minorHAnsi" w:hAnsiTheme="minorHAnsi" w:cstheme="minorHAnsi"/>
          <w:color w:val="000000"/>
          <w:szCs w:val="24"/>
        </w:rPr>
        <w:t>The</w:t>
      </w:r>
      <w:r w:rsidRPr="00066860">
        <w:rPr>
          <w:rFonts w:asciiTheme="minorHAnsi" w:hAnsiTheme="minorHAnsi" w:cstheme="minorHAnsi"/>
          <w:color w:val="000000"/>
          <w:szCs w:val="24"/>
        </w:rPr>
        <w:t xml:space="preserve"> allocation of any resulting CIL monies</w:t>
      </w:r>
      <w:r w:rsidR="00BA512B">
        <w:rPr>
          <w:rFonts w:asciiTheme="minorHAnsi" w:hAnsiTheme="minorHAnsi" w:cstheme="minorHAnsi"/>
          <w:color w:val="000000"/>
          <w:szCs w:val="24"/>
        </w:rPr>
        <w:t xml:space="preserve"> may therefore be problematic</w:t>
      </w:r>
      <w:r w:rsidRPr="00066860">
        <w:rPr>
          <w:rFonts w:asciiTheme="minorHAnsi" w:hAnsiTheme="minorHAnsi" w:cstheme="minorHAnsi"/>
          <w:color w:val="000000"/>
          <w:szCs w:val="24"/>
        </w:rPr>
        <w:t>.</w:t>
      </w:r>
    </w:p>
    <w:p w:rsidR="00D245D1"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We note that the proposed allocations at Park Hall have been altered substantially from those proposed at the Preferred Sites stage, although no explanation is apparent.  These changes appear to be that </w:t>
      </w:r>
      <w:r w:rsidRPr="006D6C86">
        <w:rPr>
          <w:rFonts w:asciiTheme="minorHAnsi" w:hAnsiTheme="minorHAnsi" w:cstheme="minorHAnsi"/>
          <w:szCs w:val="24"/>
          <w:lang w:eastAsia="en-GB"/>
        </w:rPr>
        <w:t>PKH007 has been removed as a proposed allocation</w:t>
      </w:r>
      <w:r>
        <w:rPr>
          <w:rFonts w:asciiTheme="minorHAnsi" w:hAnsiTheme="minorHAnsi" w:cstheme="minorHAnsi"/>
          <w:szCs w:val="24"/>
          <w:lang w:eastAsia="en-GB"/>
        </w:rPr>
        <w:t>, and PKH013, PKH 029 and PKH 032 have been added as proposed allocations.  The overall allocation at Park Hall has been increased by 80 houses.</w:t>
      </w:r>
    </w:p>
    <w:p w:rsidR="00D245D1" w:rsidRPr="006D6C86"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We show below, at approximately the same scales, the relevant sites as shown (1) at the Preferred Sites stage, (2) at the present Pre-submission stage and (3) on the web-based Residential Conclusion Map</w:t>
      </w:r>
    </w:p>
    <w:p w:rsidR="00D245D1" w:rsidRPr="00FF7115" w:rsidRDefault="00D245D1" w:rsidP="00B346E7">
      <w:pPr>
        <w:pStyle w:val="ListParagraph"/>
        <w:tabs>
          <w:tab w:val="left" w:pos="2268"/>
        </w:tabs>
        <w:spacing w:before="240" w:after="240"/>
        <w:contextualSpacing w:val="0"/>
        <w:textAlignment w:val="baseline"/>
        <w:rPr>
          <w:rFonts w:asciiTheme="minorHAnsi" w:hAnsiTheme="minorHAnsi" w:cstheme="minorHAnsi"/>
          <w:szCs w:val="24"/>
          <w:lang w:eastAsia="en-GB"/>
        </w:rPr>
      </w:pPr>
      <w:r>
        <w:rPr>
          <w:noProof/>
          <w:lang w:eastAsia="en-GB"/>
        </w:rPr>
        <w:drawing>
          <wp:inline distT="0" distB="0" distL="0" distR="0" wp14:anchorId="2F31B666" wp14:editId="212F4278">
            <wp:extent cx="1459865" cy="1656080"/>
            <wp:effectExtent l="19050" t="19050" r="698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3678" t="48598" r="27202" b="12842"/>
                    <a:stretch/>
                  </pic:blipFill>
                  <pic:spPr bwMode="auto">
                    <a:xfrm>
                      <a:off x="0" y="0"/>
                      <a:ext cx="1477240" cy="167579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Theme="minorHAnsi" w:hAnsiTheme="minorHAnsi" w:cstheme="minorHAnsi"/>
          <w:szCs w:val="24"/>
          <w:lang w:eastAsia="en-GB"/>
        </w:rPr>
        <w:t xml:space="preserve">     </w:t>
      </w:r>
      <w:r>
        <w:rPr>
          <w:noProof/>
          <w:lang w:eastAsia="en-GB"/>
        </w:rPr>
        <w:drawing>
          <wp:inline distT="0" distB="0" distL="0" distR="0" wp14:anchorId="2D15C026" wp14:editId="36794161">
            <wp:extent cx="2333625" cy="1656080"/>
            <wp:effectExtent l="19050" t="19050" r="952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564" t="11818" r="16898" b="28206"/>
                    <a:stretch/>
                  </pic:blipFill>
                  <pic:spPr bwMode="auto">
                    <a:xfrm>
                      <a:off x="0" y="0"/>
                      <a:ext cx="2344642" cy="166389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Theme="minorHAnsi" w:hAnsiTheme="minorHAnsi" w:cstheme="minorHAnsi"/>
          <w:szCs w:val="24"/>
          <w:lang w:eastAsia="en-GB"/>
        </w:rPr>
        <w:t xml:space="preserve">     </w:t>
      </w:r>
      <w:r>
        <w:rPr>
          <w:noProof/>
          <w:lang w:eastAsia="en-GB"/>
        </w:rPr>
        <w:drawing>
          <wp:inline distT="0" distB="0" distL="0" distR="0" wp14:anchorId="64CDFC54" wp14:editId="4D561767">
            <wp:extent cx="1382353" cy="1657350"/>
            <wp:effectExtent l="19050" t="1905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9009" t="17334" r="33525" b="45439"/>
                    <a:stretch/>
                  </pic:blipFill>
                  <pic:spPr bwMode="auto">
                    <a:xfrm>
                      <a:off x="0" y="0"/>
                      <a:ext cx="1397442" cy="167544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45D1" w:rsidRDefault="00D245D1" w:rsidP="00D245D1">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The Residential Conclusions Map indicates that sites PKH029 and PKH 013 were rejected, so it is surprising that they are now being put forward as allocated sites.  Site PKH007 does not appear on the Residential Conclusion Map at all.</w:t>
      </w:r>
      <w:r w:rsidR="00B346E7">
        <w:rPr>
          <w:rFonts w:asciiTheme="minorHAnsi" w:hAnsiTheme="minorHAnsi" w:cstheme="minorHAnsi"/>
          <w:szCs w:val="24"/>
          <w:lang w:eastAsia="en-GB"/>
        </w:rPr>
        <w:t xml:space="preserve">  No mitigation for the rejected sites has been proposed within Table 11.4 on pages 255-260 of the SA.</w:t>
      </w:r>
    </w:p>
    <w:p w:rsidR="00D245D1" w:rsidRDefault="00D245D1" w:rsidP="00D245D1">
      <w:pPr>
        <w:pStyle w:val="ListParagraph"/>
        <w:numPr>
          <w:ilvl w:val="1"/>
          <w:numId w:val="1"/>
        </w:numPr>
        <w:spacing w:before="12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Taking the above comments into account it therefore appears that</w:t>
      </w:r>
      <w:r w:rsidR="00780232">
        <w:rPr>
          <w:rFonts w:asciiTheme="minorHAnsi" w:hAnsiTheme="minorHAnsi" w:cstheme="minorHAnsi"/>
          <w:szCs w:val="24"/>
          <w:lang w:eastAsia="en-GB"/>
        </w:rPr>
        <w:t xml:space="preserve"> the allocations at Park Hall are not supported by proportionate evidence, and are therefore unsound, because </w:t>
      </w:r>
      <w:r>
        <w:rPr>
          <w:rFonts w:asciiTheme="minorHAnsi" w:hAnsiTheme="minorHAnsi" w:cstheme="minorHAnsi"/>
          <w:szCs w:val="24"/>
          <w:lang w:eastAsia="en-GB"/>
        </w:rPr>
        <w:t>:</w:t>
      </w:r>
    </w:p>
    <w:p w:rsidR="00D245D1" w:rsidRDefault="00D245D1" w:rsidP="00B346E7">
      <w:pPr>
        <w:pStyle w:val="ListParagraph"/>
        <w:numPr>
          <w:ilvl w:val="0"/>
          <w:numId w:val="24"/>
        </w:numPr>
        <w:spacing w:before="120"/>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 xml:space="preserve">It is </w:t>
      </w:r>
      <w:r w:rsidR="00780232">
        <w:rPr>
          <w:rFonts w:asciiTheme="minorHAnsi" w:hAnsiTheme="minorHAnsi" w:cstheme="minorHAnsi"/>
          <w:szCs w:val="24"/>
          <w:lang w:eastAsia="en-GB"/>
        </w:rPr>
        <w:t>unsustainable</w:t>
      </w:r>
      <w:r>
        <w:rPr>
          <w:rFonts w:asciiTheme="minorHAnsi" w:hAnsiTheme="minorHAnsi" w:cstheme="minorHAnsi"/>
          <w:szCs w:val="24"/>
          <w:lang w:eastAsia="en-GB"/>
        </w:rPr>
        <w:t xml:space="preserve"> to treat allocations at Park Hall as being to satisfy need at Oswestry</w:t>
      </w:r>
    </w:p>
    <w:p w:rsidR="000E209B" w:rsidRPr="00650C0E" w:rsidRDefault="00D245D1" w:rsidP="00B346E7">
      <w:pPr>
        <w:pStyle w:val="ListParagraph"/>
        <w:numPr>
          <w:ilvl w:val="0"/>
          <w:numId w:val="24"/>
        </w:numPr>
        <w:spacing w:before="120" w:after="240"/>
        <w:ind w:left="567"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Some of the new allocations now proposed for Park Hall are in any case on rejected sites.</w:t>
      </w:r>
    </w:p>
    <w:p w:rsidR="000E209B" w:rsidRDefault="000E209B" w:rsidP="000E209B">
      <w:pPr>
        <w:pStyle w:val="Heading2"/>
        <w:keepNext w:val="0"/>
        <w:spacing w:before="240" w:after="120"/>
        <w:rPr>
          <w:rFonts w:asciiTheme="minorHAnsi" w:eastAsiaTheme="minorHAnsi" w:hAnsiTheme="minorHAnsi" w:cstheme="minorHAnsi"/>
          <w:b/>
          <w:i/>
          <w:color w:val="0070C0"/>
          <w:sz w:val="28"/>
          <w:szCs w:val="28"/>
          <w:lang w:eastAsia="en-GB"/>
        </w:rPr>
      </w:pPr>
      <w:bookmarkStart w:id="62" w:name="_Toc65242948"/>
      <w:r w:rsidRPr="005307CB">
        <w:rPr>
          <w:rFonts w:asciiTheme="minorHAnsi" w:eastAsiaTheme="minorHAnsi" w:hAnsiTheme="minorHAnsi" w:cstheme="minorHAnsi"/>
          <w:b/>
          <w:i/>
          <w:color w:val="0070C0"/>
          <w:sz w:val="28"/>
          <w:szCs w:val="28"/>
          <w:lang w:eastAsia="en-GB"/>
        </w:rPr>
        <w:t>Modification(s) considered necessary</w:t>
      </w:r>
      <w:bookmarkEnd w:id="62"/>
    </w:p>
    <w:p w:rsidR="00650C0E" w:rsidRPr="00B346E7" w:rsidRDefault="000E209B" w:rsidP="00650C0E">
      <w:pPr>
        <w:pStyle w:val="ListParagraph"/>
        <w:numPr>
          <w:ilvl w:val="1"/>
          <w:numId w:val="1"/>
        </w:numPr>
        <w:spacing w:before="240" w:after="240"/>
        <w:ind w:left="0" w:hanging="567"/>
        <w:contextualSpacing w:val="0"/>
        <w:textAlignment w:val="baseline"/>
        <w:rPr>
          <w:lang w:eastAsia="en-GB"/>
        </w:rPr>
      </w:pPr>
      <w:r>
        <w:rPr>
          <w:rFonts w:asciiTheme="minorHAnsi" w:eastAsia="Arial" w:hAnsiTheme="minorHAnsi" w:cstheme="minorHAnsi"/>
          <w:color w:val="000000" w:themeColor="text1"/>
          <w:w w:val="105"/>
          <w:szCs w:val="24"/>
          <w:lang w:val="en-US"/>
        </w:rPr>
        <w:t>The quantum of employment land proposed</w:t>
      </w:r>
      <w:r w:rsidR="00780232">
        <w:rPr>
          <w:rFonts w:asciiTheme="minorHAnsi" w:eastAsia="Arial" w:hAnsiTheme="minorHAnsi" w:cstheme="minorHAnsi"/>
          <w:color w:val="000000" w:themeColor="text1"/>
          <w:w w:val="105"/>
          <w:szCs w:val="24"/>
          <w:lang w:val="en-US"/>
        </w:rPr>
        <w:t>, and the allocations at Park Hall,</w:t>
      </w:r>
      <w:r>
        <w:rPr>
          <w:rFonts w:asciiTheme="minorHAnsi" w:eastAsia="Arial" w:hAnsiTheme="minorHAnsi" w:cstheme="minorHAnsi"/>
          <w:color w:val="000000" w:themeColor="text1"/>
          <w:w w:val="105"/>
          <w:szCs w:val="24"/>
          <w:lang w:val="en-US"/>
        </w:rPr>
        <w:t xml:space="preserve"> need to be reappraised</w:t>
      </w:r>
      <w:r w:rsidR="006B3A81">
        <w:rPr>
          <w:rFonts w:asciiTheme="minorHAnsi" w:eastAsia="Arial" w:hAnsiTheme="minorHAnsi" w:cstheme="minorHAnsi"/>
          <w:color w:val="000000" w:themeColor="text1"/>
          <w:w w:val="105"/>
          <w:szCs w:val="24"/>
          <w:lang w:val="en-US"/>
        </w:rPr>
        <w:t>.</w:t>
      </w:r>
      <w:r w:rsidR="00650C0E" w:rsidRPr="00B346E7">
        <w:rPr>
          <w:rFonts w:asciiTheme="minorHAnsi" w:eastAsia="Arial" w:hAnsiTheme="minorHAnsi" w:cstheme="minorHAnsi"/>
          <w:color w:val="000000" w:themeColor="text1"/>
          <w:w w:val="105"/>
          <w:szCs w:val="24"/>
          <w:lang w:val="en-US"/>
        </w:rPr>
        <w:br w:type="page"/>
      </w:r>
    </w:p>
    <w:p w:rsidR="00295DC2" w:rsidRDefault="00295DC2" w:rsidP="000E209B">
      <w:pPr>
        <w:pStyle w:val="ListParagraph"/>
        <w:numPr>
          <w:ilvl w:val="0"/>
          <w:numId w:val="1"/>
        </w:numPr>
        <w:autoSpaceDE w:val="0"/>
        <w:autoSpaceDN w:val="0"/>
        <w:adjustRightInd w:val="0"/>
        <w:spacing w:before="360"/>
        <w:ind w:left="0" w:right="-45" w:hanging="567"/>
        <w:contextualSpacing w:val="0"/>
        <w:outlineLvl w:val="0"/>
        <w:rPr>
          <w:rFonts w:asciiTheme="minorHAnsi" w:hAnsiTheme="minorHAnsi" w:cstheme="minorHAnsi"/>
          <w:b/>
          <w:color w:val="0070C0"/>
          <w:sz w:val="36"/>
          <w:szCs w:val="36"/>
          <w:lang w:eastAsia="en-GB"/>
        </w:rPr>
      </w:pPr>
      <w:bookmarkStart w:id="63" w:name="_Toc65242949"/>
      <w:r>
        <w:rPr>
          <w:rFonts w:asciiTheme="minorHAnsi" w:hAnsiTheme="minorHAnsi" w:cstheme="minorHAnsi"/>
          <w:b/>
          <w:color w:val="0070C0"/>
          <w:sz w:val="36"/>
          <w:szCs w:val="36"/>
          <w:lang w:eastAsia="en-GB"/>
        </w:rPr>
        <w:lastRenderedPageBreak/>
        <w:t>S15 Shifnal Place Plan area</w:t>
      </w:r>
      <w:bookmarkEnd w:id="63"/>
    </w:p>
    <w:p w:rsidR="00295DC2" w:rsidRPr="00FE2663" w:rsidRDefault="00295DC2" w:rsidP="00295DC2">
      <w:pPr>
        <w:keepNext/>
        <w:spacing w:before="12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Part B:</w:t>
      </w:r>
      <w:r w:rsidRPr="00FE2663">
        <w:rPr>
          <w:rFonts w:asciiTheme="minorHAnsi" w:hAnsiTheme="minorHAnsi" w:cstheme="minorHAnsi"/>
          <w:b/>
          <w:spacing w:val="-8"/>
          <w:sz w:val="22"/>
          <w:shd w:val="clear" w:color="auto" w:fill="D9E1F3"/>
        </w:rPr>
        <w:t xml:space="preserve"> </w:t>
      </w:r>
      <w:r w:rsidRPr="00FE2663">
        <w:rPr>
          <w:rFonts w:asciiTheme="minorHAnsi" w:hAnsiTheme="minorHAnsi" w:cstheme="minorHAnsi"/>
          <w:b/>
          <w:sz w:val="22"/>
          <w:shd w:val="clear" w:color="auto" w:fill="D9E1F3"/>
        </w:rPr>
        <w:t>Response</w:t>
      </w:r>
    </w:p>
    <w:p w:rsidR="00295DC2" w:rsidRPr="00FE2663" w:rsidRDefault="00295DC2" w:rsidP="00295DC2">
      <w:pPr>
        <w:spacing w:after="60"/>
        <w:textAlignment w:val="baseline"/>
        <w:rPr>
          <w:rFonts w:asciiTheme="minorHAnsi" w:hAnsiTheme="minorHAnsi" w:cstheme="minorHAnsi"/>
          <w:b/>
          <w:sz w:val="22"/>
        </w:rPr>
      </w:pPr>
      <w:r w:rsidRPr="00FE2663">
        <w:rPr>
          <w:rFonts w:asciiTheme="minorHAnsi" w:hAnsiTheme="minorHAnsi" w:cstheme="minorHAnsi"/>
          <w:b/>
          <w:sz w:val="22"/>
          <w:shd w:val="clear" w:color="auto" w:fill="D9E1F3"/>
        </w:rPr>
        <w:t>Q1. To which document does this response</w:t>
      </w:r>
      <w:r w:rsidRPr="00FE2663">
        <w:rPr>
          <w:rFonts w:asciiTheme="minorHAnsi" w:hAnsiTheme="minorHAnsi" w:cstheme="minorHAnsi"/>
          <w:b/>
          <w:spacing w:val="-18"/>
          <w:sz w:val="22"/>
          <w:shd w:val="clear" w:color="auto" w:fill="D9E1F3"/>
        </w:rPr>
        <w:t xml:space="preserve"> </w:t>
      </w:r>
      <w:r>
        <w:rPr>
          <w:rFonts w:asciiTheme="minorHAnsi" w:hAnsiTheme="minorHAnsi" w:cstheme="minorHAnsi"/>
          <w:b/>
          <w:sz w:val="22"/>
          <w:shd w:val="clear" w:color="auto" w:fill="D9E1F3"/>
        </w:rPr>
        <w:t>relate?</w:t>
      </w:r>
    </w:p>
    <w:tbl>
      <w:tblPr>
        <w:tblStyle w:val="TableGrid"/>
        <w:tblW w:w="9781" w:type="dxa"/>
        <w:tblInd w:w="250" w:type="dxa"/>
        <w:tblLayout w:type="fixed"/>
        <w:tblLook w:val="04A0" w:firstRow="1" w:lastRow="0" w:firstColumn="1" w:lastColumn="0" w:noHBand="0" w:noVBand="1"/>
      </w:tblPr>
      <w:tblGrid>
        <w:gridCol w:w="567"/>
        <w:gridCol w:w="9214"/>
      </w:tblGrid>
      <w:tr w:rsidR="00295DC2" w:rsidRPr="00A17498" w:rsidTr="007673BE">
        <w:trPr>
          <w:trHeight w:val="283"/>
        </w:trPr>
        <w:tc>
          <w:tcPr>
            <w:tcW w:w="567" w:type="dxa"/>
            <w:tcBorders>
              <w:right w:val="single" w:sz="4" w:space="0" w:color="auto"/>
            </w:tcBorders>
            <w:vAlign w:val="center"/>
          </w:tcPr>
          <w:p w:rsidR="00295DC2" w:rsidRPr="00A17498" w:rsidRDefault="00295DC2" w:rsidP="007673BE">
            <w:pPr>
              <w:pStyle w:val="ListParagraph"/>
              <w:spacing w:after="0"/>
              <w:contextualSpacing w:val="0"/>
              <w:rPr>
                <w:rFonts w:asciiTheme="minorHAnsi" w:hAnsiTheme="minorHAnsi" w:cstheme="minorHAnsi"/>
                <w:b/>
              </w:rPr>
            </w:pPr>
            <w:r w:rsidRPr="009C61AD">
              <w:rPr>
                <w:rFonts w:asciiTheme="minorHAnsi" w:hAnsiTheme="minorHAnsi" w:cstheme="minorHAnsi"/>
                <w:b/>
              </w:rPr>
              <w:t>√</w:t>
            </w:r>
          </w:p>
        </w:tc>
        <w:tc>
          <w:tcPr>
            <w:tcW w:w="9214" w:type="dxa"/>
            <w:tcBorders>
              <w:top w:val="nil"/>
              <w:left w:val="single" w:sz="4" w:space="0" w:color="auto"/>
              <w:bottom w:val="nil"/>
              <w:right w:val="nil"/>
            </w:tcBorders>
            <w:vAlign w:val="center"/>
          </w:tcPr>
          <w:p w:rsidR="00295DC2" w:rsidRPr="001251D0" w:rsidRDefault="00295DC2" w:rsidP="007673BE">
            <w:pPr>
              <w:rPr>
                <w:rFonts w:ascii="Verdana" w:eastAsiaTheme="minorHAnsi" w:hAnsi="Verdana" w:cs="Verdana"/>
                <w:color w:val="000000"/>
                <w:sz w:val="20"/>
                <w:szCs w:val="20"/>
              </w:rPr>
            </w:pPr>
            <w:r w:rsidRPr="00FE2663">
              <w:rPr>
                <w:rFonts w:ascii="Verdana" w:eastAsiaTheme="minorHAnsi" w:hAnsi="Verdana" w:cs="Verdana"/>
                <w:color w:val="000000"/>
                <w:sz w:val="20"/>
                <w:szCs w:val="20"/>
              </w:rPr>
              <w:t>Regulation 19: Pre-Submission Draft of the Shropshire Local Plan</w:t>
            </w:r>
          </w:p>
        </w:tc>
      </w:tr>
    </w:tbl>
    <w:p w:rsidR="00295DC2" w:rsidRPr="00A17498" w:rsidRDefault="00295DC2" w:rsidP="00295DC2">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Q2. To which part of the document does this response relate?</w:t>
      </w:r>
      <w:r w:rsidRPr="00A17498">
        <w:rPr>
          <w:rFonts w:asciiTheme="minorHAnsi" w:hAnsiTheme="minorHAnsi" w:cstheme="minorHAnsi"/>
          <w:b/>
          <w:sz w:val="22"/>
          <w:shd w:val="clear" w:color="auto" w:fill="D9E1F3"/>
        </w:rPr>
        <w:tab/>
      </w:r>
    </w:p>
    <w:tbl>
      <w:tblPr>
        <w:tblStyle w:val="TableGrid"/>
        <w:tblW w:w="9781" w:type="dxa"/>
        <w:tblInd w:w="250" w:type="dxa"/>
        <w:tblLook w:val="04A0" w:firstRow="1" w:lastRow="0" w:firstColumn="1" w:lastColumn="0" w:noHBand="0" w:noVBand="1"/>
      </w:tblPr>
      <w:tblGrid>
        <w:gridCol w:w="1134"/>
        <w:gridCol w:w="2410"/>
        <w:gridCol w:w="1276"/>
        <w:gridCol w:w="4961"/>
      </w:tblGrid>
      <w:tr w:rsidR="00295DC2" w:rsidRPr="00A17498" w:rsidTr="007673BE">
        <w:trPr>
          <w:trHeight w:val="283"/>
        </w:trPr>
        <w:tc>
          <w:tcPr>
            <w:tcW w:w="1134" w:type="dxa"/>
            <w:tcBorders>
              <w:top w:val="nil"/>
              <w:left w:val="nil"/>
              <w:bottom w:val="nil"/>
              <w:right w:val="single" w:sz="4" w:space="0" w:color="auto"/>
            </w:tcBorders>
            <w:vAlign w:val="center"/>
          </w:tcPr>
          <w:p w:rsidR="00295DC2" w:rsidRPr="00A17498" w:rsidRDefault="00295DC2" w:rsidP="007673BE">
            <w:pPr>
              <w:pStyle w:val="BodyText"/>
              <w:spacing w:after="0"/>
              <w:rPr>
                <w:rFonts w:asciiTheme="minorHAnsi" w:hAnsiTheme="minorHAnsi" w:cstheme="minorHAnsi"/>
              </w:rPr>
            </w:pPr>
            <w:r w:rsidRPr="00A17498">
              <w:rPr>
                <w:rFonts w:asciiTheme="minorHAnsi" w:hAnsiTheme="minorHAnsi" w:cstheme="minorHAnsi"/>
              </w:rPr>
              <w:t>Paragraph</w:t>
            </w:r>
          </w:p>
        </w:tc>
        <w:tc>
          <w:tcPr>
            <w:tcW w:w="2410" w:type="dxa"/>
            <w:tcBorders>
              <w:left w:val="single" w:sz="4" w:space="0" w:color="auto"/>
              <w:bottom w:val="single" w:sz="4" w:space="0" w:color="auto"/>
              <w:right w:val="single" w:sz="4" w:space="0" w:color="auto"/>
            </w:tcBorders>
            <w:vAlign w:val="center"/>
          </w:tcPr>
          <w:p w:rsidR="00295DC2" w:rsidRPr="00A17498" w:rsidRDefault="00295DC2" w:rsidP="007673BE">
            <w:pPr>
              <w:pStyle w:val="BodyText"/>
              <w:spacing w:after="0"/>
              <w:rPr>
                <w:rFonts w:asciiTheme="minorHAnsi" w:hAnsiTheme="minorHAnsi" w:cstheme="minorHAnsi"/>
              </w:rPr>
            </w:pPr>
          </w:p>
        </w:tc>
        <w:tc>
          <w:tcPr>
            <w:tcW w:w="1276" w:type="dxa"/>
            <w:tcBorders>
              <w:top w:val="nil"/>
              <w:left w:val="single" w:sz="4" w:space="0" w:color="auto"/>
              <w:bottom w:val="nil"/>
              <w:right w:val="single" w:sz="4" w:space="0" w:color="auto"/>
            </w:tcBorders>
            <w:vAlign w:val="center"/>
          </w:tcPr>
          <w:p w:rsidR="00295DC2" w:rsidRPr="00A17498" w:rsidRDefault="00295DC2" w:rsidP="007673BE">
            <w:pPr>
              <w:pStyle w:val="BodyText"/>
              <w:spacing w:after="0"/>
              <w:rPr>
                <w:rFonts w:asciiTheme="minorHAnsi" w:hAnsiTheme="minorHAnsi" w:cstheme="minorHAnsi"/>
              </w:rPr>
            </w:pPr>
            <w:r w:rsidRPr="00A17498">
              <w:rPr>
                <w:rFonts w:asciiTheme="minorHAnsi" w:hAnsiTheme="minorHAnsi" w:cstheme="minorHAnsi"/>
              </w:rPr>
              <w:t>Policy</w:t>
            </w:r>
          </w:p>
        </w:tc>
        <w:tc>
          <w:tcPr>
            <w:tcW w:w="4961" w:type="dxa"/>
            <w:tcBorders>
              <w:left w:val="single" w:sz="4" w:space="0" w:color="auto"/>
              <w:bottom w:val="single" w:sz="4" w:space="0" w:color="auto"/>
            </w:tcBorders>
            <w:vAlign w:val="center"/>
          </w:tcPr>
          <w:p w:rsidR="00295DC2" w:rsidRPr="00A17498" w:rsidRDefault="00295DC2" w:rsidP="007673BE">
            <w:pPr>
              <w:pStyle w:val="BodyText"/>
              <w:spacing w:after="0"/>
              <w:rPr>
                <w:rFonts w:asciiTheme="minorHAnsi" w:hAnsiTheme="minorHAnsi" w:cstheme="minorHAnsi"/>
              </w:rPr>
            </w:pPr>
            <w:r>
              <w:rPr>
                <w:rFonts w:asciiTheme="minorHAnsi" w:hAnsiTheme="minorHAnsi" w:cstheme="minorHAnsi"/>
              </w:rPr>
              <w:t>S15</w:t>
            </w:r>
          </w:p>
        </w:tc>
      </w:tr>
    </w:tbl>
    <w:p w:rsidR="00295DC2" w:rsidRPr="00A17498" w:rsidRDefault="00295DC2" w:rsidP="00295DC2">
      <w:pPr>
        <w:pStyle w:val="ListParagraph"/>
        <w:spacing w:after="60"/>
        <w:contextualSpacing w:val="0"/>
        <w:textAlignment w:val="baseline"/>
        <w:rPr>
          <w:rFonts w:asciiTheme="minorHAnsi" w:hAnsiTheme="minorHAnsi" w:cstheme="minorHAnsi"/>
          <w:b/>
          <w:sz w:val="22"/>
          <w:shd w:val="clear" w:color="auto" w:fill="D9E1F3"/>
        </w:rPr>
      </w:pPr>
      <w:r w:rsidRPr="00A17498">
        <w:rPr>
          <w:rFonts w:asciiTheme="minorHAnsi" w:hAnsiTheme="minorHAnsi" w:cstheme="minorHAnsi"/>
          <w:b/>
          <w:sz w:val="22"/>
          <w:shd w:val="clear" w:color="auto" w:fill="D9E1F3"/>
        </w:rPr>
        <w:t xml:space="preserve">Q3. </w:t>
      </w:r>
      <w:r w:rsidRPr="00FE2663">
        <w:rPr>
          <w:rFonts w:asciiTheme="minorHAnsi" w:hAnsiTheme="minorHAnsi" w:cstheme="minorHAnsi"/>
          <w:b/>
          <w:sz w:val="22"/>
          <w:shd w:val="clear" w:color="auto" w:fill="D9E1F3"/>
        </w:rPr>
        <w:t>Do you consider the Regulation 19: Pre-Submission Draft of the Shropshire Local Plan is:</w:t>
      </w:r>
    </w:p>
    <w:tbl>
      <w:tblPr>
        <w:tblStyle w:val="TableGrid"/>
        <w:tblW w:w="0" w:type="auto"/>
        <w:tblInd w:w="250" w:type="dxa"/>
        <w:tblLayout w:type="fixed"/>
        <w:tblLook w:val="04A0" w:firstRow="1" w:lastRow="0" w:firstColumn="1" w:lastColumn="0" w:noHBand="0" w:noVBand="1"/>
      </w:tblPr>
      <w:tblGrid>
        <w:gridCol w:w="4820"/>
        <w:gridCol w:w="1275"/>
        <w:gridCol w:w="567"/>
        <w:gridCol w:w="993"/>
        <w:gridCol w:w="567"/>
      </w:tblGrid>
      <w:tr w:rsidR="00295DC2" w:rsidRPr="00B20DB7" w:rsidTr="007673BE">
        <w:trPr>
          <w:trHeight w:val="283"/>
        </w:trPr>
        <w:tc>
          <w:tcPr>
            <w:tcW w:w="4820" w:type="dxa"/>
            <w:tcBorders>
              <w:top w:val="nil"/>
              <w:left w:val="nil"/>
              <w:bottom w:val="nil"/>
              <w:right w:val="single" w:sz="4" w:space="0" w:color="auto"/>
            </w:tcBorders>
            <w:vAlign w:val="center"/>
          </w:tcPr>
          <w:p w:rsidR="00295DC2" w:rsidRPr="00882F68" w:rsidRDefault="00295DC2" w:rsidP="007673BE">
            <w:pPr>
              <w:rPr>
                <w:rFonts w:ascii="Verdana" w:eastAsiaTheme="minorHAnsi" w:hAnsi="Verdana" w:cs="Verdana"/>
                <w:color w:val="000000"/>
                <w:sz w:val="20"/>
                <w:szCs w:val="20"/>
              </w:rPr>
            </w:pPr>
            <w:r>
              <w:rPr>
                <w:rFonts w:ascii="Verdana" w:eastAsiaTheme="minorHAnsi" w:hAnsi="Verdana" w:cs="Verdana"/>
                <w:color w:val="000000"/>
                <w:sz w:val="20"/>
                <w:szCs w:val="20"/>
              </w:rPr>
              <w:t>B</w:t>
            </w:r>
            <w:r w:rsidRPr="00882F68">
              <w:rPr>
                <w:rFonts w:ascii="Verdana" w:eastAsiaTheme="minorHAnsi" w:hAnsi="Verdana" w:cs="Verdana"/>
                <w:color w:val="000000"/>
                <w:sz w:val="20"/>
                <w:szCs w:val="20"/>
              </w:rPr>
              <w:t xml:space="preserve">. </w:t>
            </w:r>
            <w:r>
              <w:rPr>
                <w:rFonts w:ascii="Verdana" w:eastAsiaTheme="minorHAnsi" w:hAnsi="Verdana" w:cs="Verdana"/>
                <w:color w:val="000000"/>
                <w:sz w:val="20"/>
                <w:szCs w:val="20"/>
              </w:rPr>
              <w:t>Sound</w:t>
            </w:r>
          </w:p>
        </w:tc>
        <w:tc>
          <w:tcPr>
            <w:tcW w:w="1275" w:type="dxa"/>
            <w:tcBorders>
              <w:top w:val="single" w:sz="4" w:space="0" w:color="auto"/>
              <w:left w:val="single" w:sz="4" w:space="0" w:color="auto"/>
              <w:bottom w:val="single" w:sz="4" w:space="0" w:color="auto"/>
              <w:right w:val="single" w:sz="4" w:space="0" w:color="auto"/>
            </w:tcBorders>
            <w:vAlign w:val="center"/>
          </w:tcPr>
          <w:p w:rsidR="00295DC2" w:rsidRPr="00CD44CB" w:rsidRDefault="00295DC2" w:rsidP="007673BE">
            <w:pPr>
              <w:rPr>
                <w:rFonts w:ascii="Arial" w:eastAsiaTheme="minorHAnsi" w:hAnsi="Arial" w:cs="Arial"/>
                <w:color w:val="000000"/>
                <w:sz w:val="20"/>
                <w:szCs w:val="20"/>
              </w:rPr>
            </w:pPr>
            <w:r w:rsidRPr="00CD44CB">
              <w:rPr>
                <w:rFonts w:ascii="Arial" w:eastAsiaTheme="minorHAnsi" w:hAnsi="Arial" w:cs="Arial"/>
                <w:color w:val="000000"/>
                <w:sz w:val="20"/>
                <w:szCs w:val="20"/>
              </w:rPr>
              <w:t>Yes:</w:t>
            </w:r>
          </w:p>
        </w:tc>
        <w:tc>
          <w:tcPr>
            <w:tcW w:w="567" w:type="dxa"/>
            <w:tcBorders>
              <w:top w:val="nil"/>
              <w:left w:val="single" w:sz="4" w:space="0" w:color="auto"/>
              <w:bottom w:val="nil"/>
              <w:right w:val="single" w:sz="4" w:space="0" w:color="auto"/>
            </w:tcBorders>
            <w:vAlign w:val="center"/>
          </w:tcPr>
          <w:p w:rsidR="00295DC2" w:rsidRPr="00B20DB7" w:rsidRDefault="00295DC2" w:rsidP="007673BE">
            <w:pPr>
              <w:rPr>
                <w:rFonts w:ascii="Verdana" w:eastAsiaTheme="minorHAnsi" w:hAnsi="Verdana" w:cs="Verdana"/>
                <w:color w:val="000000"/>
                <w:sz w:val="20"/>
                <w:szCs w:val="20"/>
              </w:rPr>
            </w:pPr>
          </w:p>
        </w:tc>
        <w:tc>
          <w:tcPr>
            <w:tcW w:w="993" w:type="dxa"/>
            <w:tcBorders>
              <w:top w:val="nil"/>
              <w:left w:val="single" w:sz="4" w:space="0" w:color="auto"/>
              <w:bottom w:val="nil"/>
              <w:right w:val="single" w:sz="4" w:space="0" w:color="auto"/>
            </w:tcBorders>
            <w:vAlign w:val="center"/>
          </w:tcPr>
          <w:p w:rsidR="00295DC2" w:rsidRPr="00CD44CB" w:rsidRDefault="00295DC2" w:rsidP="007673BE">
            <w:pPr>
              <w:rPr>
                <w:rFonts w:ascii="Arial" w:eastAsiaTheme="minorHAnsi" w:hAnsi="Arial" w:cs="Arial"/>
                <w:color w:val="000000"/>
                <w:sz w:val="20"/>
                <w:szCs w:val="20"/>
              </w:rPr>
            </w:pPr>
            <w:r w:rsidRPr="00CD44CB">
              <w:rPr>
                <w:rFonts w:ascii="Arial" w:eastAsiaTheme="minorHAnsi" w:hAnsi="Arial" w:cs="Arial"/>
                <w:color w:val="000000"/>
                <w:sz w:val="20"/>
                <w:szCs w:val="20"/>
              </w:rPr>
              <w:t>No:</w:t>
            </w:r>
          </w:p>
        </w:tc>
        <w:tc>
          <w:tcPr>
            <w:tcW w:w="567" w:type="dxa"/>
            <w:tcBorders>
              <w:left w:val="single" w:sz="4" w:space="0" w:color="auto"/>
            </w:tcBorders>
            <w:vAlign w:val="center"/>
          </w:tcPr>
          <w:p w:rsidR="00295DC2" w:rsidRPr="00CD44CB" w:rsidRDefault="00295DC2" w:rsidP="007673BE">
            <w:pPr>
              <w:pStyle w:val="ListParagraph"/>
              <w:spacing w:after="0"/>
              <w:contextualSpacing w:val="0"/>
              <w:rPr>
                <w:rFonts w:asciiTheme="minorHAnsi" w:hAnsiTheme="minorHAnsi" w:cstheme="minorHAnsi"/>
                <w:b/>
              </w:rPr>
            </w:pPr>
            <w:r w:rsidRPr="00CD44CB">
              <w:rPr>
                <w:rFonts w:asciiTheme="minorHAnsi" w:hAnsiTheme="minorHAnsi" w:cstheme="minorHAnsi"/>
                <w:b/>
              </w:rPr>
              <w:t>√</w:t>
            </w:r>
          </w:p>
        </w:tc>
      </w:tr>
    </w:tbl>
    <w:p w:rsidR="00864981" w:rsidRPr="00864981" w:rsidRDefault="00295DC2" w:rsidP="00864981">
      <w:pPr>
        <w:pStyle w:val="Heading2"/>
        <w:spacing w:before="240" w:after="120"/>
        <w:rPr>
          <w:rFonts w:asciiTheme="minorHAnsi" w:eastAsiaTheme="minorHAnsi" w:hAnsiTheme="minorHAnsi" w:cstheme="minorHAnsi"/>
          <w:b/>
          <w:i/>
          <w:color w:val="0070C0"/>
          <w:sz w:val="28"/>
          <w:szCs w:val="28"/>
          <w:lang w:eastAsia="en-GB"/>
        </w:rPr>
      </w:pPr>
      <w:bookmarkStart w:id="64" w:name="_Toc65242950"/>
      <w:r w:rsidRPr="005307CB">
        <w:rPr>
          <w:rFonts w:asciiTheme="minorHAnsi" w:eastAsiaTheme="minorHAnsi" w:hAnsiTheme="minorHAnsi" w:cstheme="minorHAnsi"/>
          <w:b/>
          <w:i/>
          <w:color w:val="0070C0"/>
          <w:sz w:val="28"/>
          <w:szCs w:val="28"/>
          <w:lang w:eastAsia="en-GB"/>
        </w:rPr>
        <w:t>Details</w:t>
      </w:r>
      <w:bookmarkEnd w:id="64"/>
    </w:p>
    <w:p w:rsidR="00864981" w:rsidRDefault="00864981" w:rsidP="000E209B">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At the Preferred Scale and Distribution of Development stage of consultation</w:t>
      </w:r>
      <w:r w:rsidRPr="007B545C">
        <w:rPr>
          <w:rFonts w:asciiTheme="minorHAnsi" w:hAnsiTheme="minorHAnsi" w:cstheme="minorHAnsi"/>
          <w:szCs w:val="24"/>
          <w:lang w:eastAsia="en-GB"/>
        </w:rPr>
        <w:t xml:space="preserve"> </w:t>
      </w:r>
      <w:r>
        <w:rPr>
          <w:rFonts w:asciiTheme="minorHAnsi" w:hAnsiTheme="minorHAnsi" w:cstheme="minorHAnsi"/>
          <w:szCs w:val="24"/>
          <w:lang w:eastAsia="en-GB"/>
        </w:rPr>
        <w:t xml:space="preserve">Table 2 on page 21 </w:t>
      </w:r>
      <w:r w:rsidR="00FD3614">
        <w:rPr>
          <w:rFonts w:asciiTheme="minorHAnsi" w:hAnsiTheme="minorHAnsi" w:cstheme="minorHAnsi"/>
          <w:szCs w:val="24"/>
          <w:lang w:eastAsia="en-GB"/>
        </w:rPr>
        <w:t xml:space="preserve">of the consultation document </w:t>
      </w:r>
      <w:r>
        <w:rPr>
          <w:rFonts w:asciiTheme="minorHAnsi" w:hAnsiTheme="minorHAnsi" w:cstheme="minorHAnsi"/>
          <w:szCs w:val="24"/>
          <w:lang w:eastAsia="en-GB"/>
        </w:rPr>
        <w:t>stated the guideline figures for Shifnal to be 1,500 for housing and 16 hectares of employment land</w:t>
      </w:r>
      <w:r w:rsidRPr="00122B98">
        <w:rPr>
          <w:rFonts w:asciiTheme="minorHAnsi" w:hAnsiTheme="minorHAnsi" w:cstheme="minorHAnsi"/>
          <w:szCs w:val="24"/>
          <w:lang w:eastAsia="en-GB"/>
        </w:rPr>
        <w:t xml:space="preserve"> to balance </w:t>
      </w:r>
      <w:r>
        <w:rPr>
          <w:rFonts w:asciiTheme="minorHAnsi" w:hAnsiTheme="minorHAnsi" w:cstheme="minorHAnsi"/>
          <w:szCs w:val="24"/>
          <w:lang w:eastAsia="en-GB"/>
        </w:rPr>
        <w:t xml:space="preserve">that </w:t>
      </w:r>
      <w:r w:rsidRPr="00122B98">
        <w:rPr>
          <w:rFonts w:asciiTheme="minorHAnsi" w:hAnsiTheme="minorHAnsi" w:cstheme="minorHAnsi"/>
          <w:szCs w:val="24"/>
          <w:lang w:eastAsia="en-GB"/>
        </w:rPr>
        <w:t>housing</w:t>
      </w:r>
      <w:r>
        <w:rPr>
          <w:rFonts w:asciiTheme="minorHAnsi" w:hAnsiTheme="minorHAnsi" w:cstheme="minorHAnsi"/>
          <w:szCs w:val="24"/>
          <w:lang w:eastAsia="en-GB"/>
        </w:rPr>
        <w:t>.  Based on Table 7 on page 42 the calculation of this employment land figure would have been:</w:t>
      </w:r>
    </w:p>
    <w:p w:rsidR="00864981" w:rsidRDefault="00864981" w:rsidP="00864981">
      <w:pPr>
        <w:pStyle w:val="ListParagraph"/>
        <w:spacing w:before="240" w:after="240"/>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1,500 x 42.25 / 10,000 / 40% = 15.84 Ha, which rounds to 16 Ha.</w:t>
      </w:r>
    </w:p>
    <w:p w:rsidR="00864981" w:rsidRDefault="00864981" w:rsidP="000E209B">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That 16 Ha is the figure shown in the “ ‘Balanced’ employment from housing” column of Table 4.2 above.</w:t>
      </w:r>
    </w:p>
    <w:p w:rsidR="00864981" w:rsidRDefault="00864981" w:rsidP="000E209B">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At the Preferred Sites stage of consultation the housing guideline remained the same but the employment land guideline was increased by 24 ha (or 250%) to 40 Ha, ‘to address local circumstances’.</w:t>
      </w:r>
    </w:p>
    <w:p w:rsidR="00864981" w:rsidRDefault="00864981" w:rsidP="000E209B">
      <w:pPr>
        <w:pStyle w:val="ListParagraph"/>
        <w:numPr>
          <w:ilvl w:val="1"/>
          <w:numId w:val="1"/>
        </w:numPr>
        <w:spacing w:before="240" w:after="240"/>
        <w:ind w:left="0" w:hanging="567"/>
        <w:contextualSpacing w:val="0"/>
        <w:textAlignment w:val="baseline"/>
        <w:rPr>
          <w:rFonts w:asciiTheme="minorHAnsi" w:hAnsiTheme="minorHAnsi" w:cstheme="minorHAnsi"/>
          <w:szCs w:val="24"/>
          <w:lang w:eastAsia="en-GB"/>
        </w:rPr>
      </w:pPr>
      <w:r>
        <w:rPr>
          <w:rFonts w:asciiTheme="minorHAnsi" w:hAnsiTheme="minorHAnsi" w:cstheme="minorHAnsi"/>
          <w:szCs w:val="24"/>
          <w:lang w:eastAsia="en-GB"/>
        </w:rPr>
        <w:t>The guideline figures in this present consultation remain substantially the same, although the employment land guideline is now stated as 41 Ha rather than 40 Ha.</w:t>
      </w:r>
    </w:p>
    <w:p w:rsidR="00864981" w:rsidRDefault="00864981" w:rsidP="000E209B">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szCs w:val="24"/>
          <w:lang w:eastAsia="en-GB"/>
        </w:rPr>
        <w:t xml:space="preserve">Nowhere in the consultation document itself or in the Shifnal section of the </w:t>
      </w:r>
      <w:r w:rsidRPr="00EF1891">
        <w:rPr>
          <w:rFonts w:asciiTheme="minorHAnsi" w:hAnsiTheme="minorHAnsi" w:cstheme="minorHAnsi"/>
          <w:color w:val="000000"/>
          <w:szCs w:val="24"/>
          <w:lang w:eastAsia="en-GB"/>
        </w:rPr>
        <w:t>Green Belt Release Exceptional Circumstances Statement</w:t>
      </w:r>
      <w:r>
        <w:rPr>
          <w:rFonts w:asciiTheme="minorHAnsi" w:hAnsiTheme="minorHAnsi" w:cstheme="minorHAnsi"/>
          <w:lang w:eastAsia="en-GB"/>
        </w:rPr>
        <w:t xml:space="preserve"> does there seem to be any quantified justification for the massive proposed increase in the employment land allocation from 16 Ha to 41 Ha, or for the departure from balance with the housing guideline.</w:t>
      </w:r>
    </w:p>
    <w:p w:rsidR="00864981" w:rsidRPr="00236064" w:rsidRDefault="00864981" w:rsidP="000E209B">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anomalous nature of the employment figures (in comparison with those for other settlements) is compounded by conflicting and puzzling statements made </w:t>
      </w:r>
      <w:r w:rsidR="00236064">
        <w:rPr>
          <w:rFonts w:asciiTheme="minorHAnsi" w:hAnsiTheme="minorHAnsi" w:cstheme="minorHAnsi"/>
          <w:lang w:eastAsia="en-GB"/>
        </w:rPr>
        <w:t xml:space="preserve">in the consultation document and in the </w:t>
      </w:r>
      <w:r w:rsidR="00236064" w:rsidRPr="00EF1891">
        <w:rPr>
          <w:rFonts w:asciiTheme="minorHAnsi" w:hAnsiTheme="minorHAnsi" w:cstheme="minorHAnsi"/>
          <w:color w:val="000000"/>
          <w:szCs w:val="24"/>
          <w:lang w:eastAsia="en-GB"/>
        </w:rPr>
        <w:t>Green Belt Release Exceptional Circumstances Statement</w:t>
      </w:r>
      <w:r w:rsidR="00236064">
        <w:rPr>
          <w:rFonts w:asciiTheme="minorHAnsi" w:hAnsiTheme="minorHAnsi" w:cstheme="minorHAnsi"/>
          <w:color w:val="000000"/>
          <w:szCs w:val="24"/>
          <w:lang w:eastAsia="en-GB"/>
        </w:rPr>
        <w:t>.</w:t>
      </w:r>
    </w:p>
    <w:p w:rsidR="00236064" w:rsidRPr="00236064" w:rsidRDefault="00236064" w:rsidP="000E209B">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First, clause 4 of the policy wording for S15 states </w:t>
      </w:r>
      <w:r w:rsidRPr="00236064">
        <w:rPr>
          <w:rFonts w:asciiTheme="minorHAnsi" w:hAnsiTheme="minorHAnsi" w:cstheme="minorHAnsi"/>
          <w:i/>
          <w:lang w:eastAsia="en-GB"/>
        </w:rPr>
        <w:t>“the town will deliver around 1,500 dwellings and make available around 41 hectares of employment land”</w:t>
      </w:r>
      <w:r>
        <w:rPr>
          <w:rFonts w:asciiTheme="minorHAnsi" w:hAnsiTheme="minorHAnsi" w:cstheme="minorHAnsi"/>
          <w:lang w:eastAsia="en-GB"/>
        </w:rPr>
        <w:t xml:space="preserve">. </w:t>
      </w:r>
      <w:r w:rsidR="00A95311">
        <w:rPr>
          <w:rFonts w:asciiTheme="minorHAnsi" w:hAnsiTheme="minorHAnsi" w:cstheme="minorHAnsi"/>
          <w:lang w:eastAsia="en-GB"/>
        </w:rPr>
        <w:t xml:space="preserve"> </w:t>
      </w:r>
      <w:r>
        <w:rPr>
          <w:rFonts w:asciiTheme="minorHAnsi" w:hAnsiTheme="minorHAnsi" w:cstheme="minorHAnsi"/>
          <w:lang w:eastAsia="en-GB"/>
        </w:rPr>
        <w:t xml:space="preserve">In contradiction to this, paragraph 5.203 states </w:t>
      </w:r>
      <w:r w:rsidRPr="00236064">
        <w:rPr>
          <w:rFonts w:asciiTheme="minorHAnsi" w:hAnsiTheme="minorHAnsi" w:cstheme="minorHAnsi"/>
          <w:i/>
          <w:lang w:eastAsia="en-GB"/>
        </w:rPr>
        <w:t>“Shifnal is to provide around 1,500 dwellings and at least 16 hectares of employment development”</w:t>
      </w:r>
      <w:r>
        <w:rPr>
          <w:rFonts w:asciiTheme="minorHAnsi" w:hAnsiTheme="minorHAnsi" w:cstheme="minorHAnsi"/>
          <w:lang w:eastAsia="en-GB"/>
        </w:rPr>
        <w:t>.</w:t>
      </w:r>
    </w:p>
    <w:p w:rsidR="00B63D17" w:rsidRPr="00B63D17" w:rsidRDefault="00236064" w:rsidP="000E209B">
      <w:pPr>
        <w:pStyle w:val="ListParagraph"/>
        <w:numPr>
          <w:ilvl w:val="1"/>
          <w:numId w:val="1"/>
        </w:numPr>
        <w:spacing w:before="240" w:after="240"/>
        <w:ind w:left="0" w:hanging="567"/>
        <w:contextualSpacing w:val="0"/>
        <w:textAlignment w:val="baseline"/>
        <w:rPr>
          <w:rFonts w:asciiTheme="minorHAnsi" w:hAnsiTheme="minorHAnsi" w:cstheme="minorHAnsi"/>
          <w:color w:val="000000"/>
          <w:szCs w:val="24"/>
          <w:lang w:eastAsia="en-GB"/>
        </w:rPr>
      </w:pPr>
      <w:r>
        <w:rPr>
          <w:rFonts w:asciiTheme="minorHAnsi" w:hAnsiTheme="minorHAnsi" w:cstheme="minorHAnsi"/>
          <w:lang w:eastAsia="en-GB"/>
        </w:rPr>
        <w:t xml:space="preserve">Second, two statements are made which are not repeated for any other settlement.  In paragraph 5.212 we have </w:t>
      </w:r>
      <w:r w:rsidRPr="00236064">
        <w:rPr>
          <w:rFonts w:asciiTheme="minorHAnsi" w:hAnsiTheme="minorHAnsi" w:cstheme="minorHAnsi"/>
          <w:i/>
          <w:lang w:eastAsia="en-GB"/>
        </w:rPr>
        <w:t>“employment land is developed to finished floorspace at 40% of the total land area such that around 40 hectares of land will deliver 16 hectares of built development”</w:t>
      </w:r>
      <w:r>
        <w:rPr>
          <w:rFonts w:asciiTheme="minorHAnsi" w:hAnsiTheme="minorHAnsi" w:cstheme="minorHAnsi"/>
          <w:lang w:eastAsia="en-GB"/>
        </w:rPr>
        <w:t>.</w:t>
      </w:r>
      <w:r w:rsidRPr="00236064">
        <w:rPr>
          <w:rFonts w:asciiTheme="minorHAnsi" w:hAnsiTheme="minorHAnsi" w:cstheme="minorHAnsi"/>
          <w:lang w:eastAsia="en-GB"/>
        </w:rPr>
        <w:t xml:space="preserve"> </w:t>
      </w:r>
      <w:r>
        <w:rPr>
          <w:rFonts w:asciiTheme="minorHAnsi" w:hAnsiTheme="minorHAnsi" w:cstheme="minorHAnsi"/>
          <w:lang w:eastAsia="en-GB"/>
        </w:rPr>
        <w:t xml:space="preserve"> The same statement is repeated in paragraph </w:t>
      </w:r>
      <w:r w:rsidR="00B63D17">
        <w:rPr>
          <w:rFonts w:asciiTheme="minorHAnsi" w:hAnsiTheme="minorHAnsi" w:cstheme="minorHAnsi"/>
          <w:lang w:eastAsia="en-GB"/>
        </w:rPr>
        <w:t xml:space="preserve">8.40 of the </w:t>
      </w:r>
      <w:r w:rsidR="00B63D17" w:rsidRPr="00EF1891">
        <w:rPr>
          <w:rFonts w:asciiTheme="minorHAnsi" w:hAnsiTheme="minorHAnsi" w:cstheme="minorHAnsi"/>
          <w:color w:val="000000"/>
          <w:szCs w:val="24"/>
          <w:lang w:eastAsia="en-GB"/>
        </w:rPr>
        <w:t>Green Belt Release Exceptional Circumstances Statement</w:t>
      </w:r>
      <w:r w:rsidR="00B63D17">
        <w:rPr>
          <w:rFonts w:asciiTheme="minorHAnsi" w:hAnsiTheme="minorHAnsi" w:cstheme="minorHAnsi"/>
          <w:color w:val="000000"/>
          <w:szCs w:val="24"/>
          <w:lang w:eastAsia="en-GB"/>
        </w:rPr>
        <w:t xml:space="preserve"> in a slightly different form, namely </w:t>
      </w:r>
      <w:r w:rsidR="00B63D17" w:rsidRPr="00B63D17">
        <w:rPr>
          <w:rFonts w:asciiTheme="minorHAnsi" w:hAnsiTheme="minorHAnsi" w:cstheme="minorHAnsi"/>
          <w:i/>
          <w:color w:val="000000"/>
          <w:szCs w:val="24"/>
          <w:lang w:eastAsia="en-GB"/>
        </w:rPr>
        <w:t>“</w:t>
      </w:r>
      <w:r w:rsidR="00B63D17" w:rsidRPr="00B63D17">
        <w:rPr>
          <w:rFonts w:asciiTheme="minorHAnsi" w:hAnsiTheme="minorHAnsi" w:cstheme="minorHAnsi"/>
          <w:i/>
          <w:color w:val="000000"/>
          <w:lang w:eastAsia="en-GB"/>
        </w:rPr>
        <w:t xml:space="preserve">employment land is developed out to 40% of the total land area </w:t>
      </w:r>
      <w:r w:rsidR="00B63D17" w:rsidRPr="00B63D17">
        <w:rPr>
          <w:rFonts w:asciiTheme="minorHAnsi" w:hAnsiTheme="minorHAnsi" w:cstheme="minorHAnsi"/>
          <w:i/>
          <w:lang w:eastAsia="en-GB"/>
        </w:rPr>
        <w:t>. . . i</w:t>
      </w:r>
      <w:r w:rsidR="00B63D17" w:rsidRPr="00B63D17">
        <w:rPr>
          <w:rFonts w:asciiTheme="minorHAnsi" w:hAnsiTheme="minorHAnsi" w:cstheme="minorHAnsi"/>
          <w:i/>
          <w:color w:val="000000"/>
          <w:szCs w:val="24"/>
          <w:lang w:eastAsia="en-GB"/>
        </w:rPr>
        <w:t>n applying this approach, it is considered that about 40 hectares will deliver around 16 hectares of built development</w:t>
      </w:r>
      <w:r w:rsidR="00B63D17" w:rsidRPr="00B63D17">
        <w:rPr>
          <w:rFonts w:asciiTheme="minorHAnsi" w:hAnsiTheme="minorHAnsi" w:cstheme="minorHAnsi"/>
          <w:i/>
          <w:szCs w:val="24"/>
          <w:lang w:eastAsia="en-GB"/>
        </w:rPr>
        <w:t>”</w:t>
      </w:r>
      <w:r w:rsidR="00A95311">
        <w:rPr>
          <w:rFonts w:asciiTheme="minorHAnsi" w:hAnsiTheme="minorHAnsi" w:cstheme="minorHAnsi"/>
          <w:color w:val="000000"/>
          <w:szCs w:val="24"/>
          <w:lang w:eastAsia="en-GB"/>
        </w:rPr>
        <w:t>.</w:t>
      </w:r>
    </w:p>
    <w:p w:rsidR="00236064" w:rsidRPr="00236064" w:rsidRDefault="00B63D17" w:rsidP="000E209B">
      <w:pPr>
        <w:pStyle w:val="ListParagraph"/>
        <w:numPr>
          <w:ilvl w:val="1"/>
          <w:numId w:val="1"/>
        </w:numPr>
        <w:spacing w:before="240" w:after="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lastRenderedPageBreak/>
        <w:t>This repeated mixing of 40 Ha and 16 Ha leads us to wonder whether somebody within Shropshire Council has simply got the sums wrong in the same way as was done within Table 6 on page 40 of the Preferred Scale and Distribution of Development consultation docum</w:t>
      </w:r>
      <w:r w:rsidR="00A95311">
        <w:rPr>
          <w:rFonts w:asciiTheme="minorHAnsi" w:hAnsiTheme="minorHAnsi" w:cstheme="minorHAnsi"/>
          <w:lang w:eastAsia="en-GB"/>
        </w:rPr>
        <w:t>ent, as explained in paragraph 5</w:t>
      </w:r>
      <w:r>
        <w:rPr>
          <w:rFonts w:asciiTheme="minorHAnsi" w:hAnsiTheme="minorHAnsi" w:cstheme="minorHAnsi"/>
          <w:lang w:eastAsia="en-GB"/>
        </w:rPr>
        <w:t>.37 above.</w:t>
      </w:r>
    </w:p>
    <w:p w:rsidR="00864981" w:rsidRPr="00C750F8" w:rsidRDefault="00864981" w:rsidP="000E209B">
      <w:pPr>
        <w:pStyle w:val="ListParagraph"/>
        <w:numPr>
          <w:ilvl w:val="1"/>
          <w:numId w:val="1"/>
        </w:numPr>
        <w:spacing w:before="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As noted above, the fact that ‘</w:t>
      </w:r>
      <w:r w:rsidRPr="00C750F8">
        <w:rPr>
          <w:rFonts w:asciiTheme="minorHAnsi" w:hAnsiTheme="minorHAnsi" w:cstheme="minorHAnsi"/>
          <w:i/>
          <w:color w:val="000000"/>
          <w:szCs w:val="24"/>
          <w:lang w:eastAsia="en-GB"/>
        </w:rPr>
        <w:t>employment land is developed out to 40% of the total land area</w:t>
      </w:r>
      <w:r>
        <w:rPr>
          <w:rFonts w:asciiTheme="minorHAnsi" w:hAnsiTheme="minorHAnsi" w:cstheme="minorHAnsi"/>
          <w:i/>
          <w:color w:val="000000"/>
          <w:szCs w:val="24"/>
          <w:lang w:eastAsia="en-GB"/>
        </w:rPr>
        <w:t xml:space="preserve">’ </w:t>
      </w:r>
      <w:r w:rsidRPr="007246D2">
        <w:rPr>
          <w:rFonts w:asciiTheme="minorHAnsi" w:hAnsiTheme="minorHAnsi" w:cstheme="minorHAnsi"/>
          <w:lang w:eastAsia="en-GB"/>
        </w:rPr>
        <w:t xml:space="preserve">has already been accounted for in the </w:t>
      </w:r>
      <w:r>
        <w:rPr>
          <w:rFonts w:asciiTheme="minorHAnsi" w:hAnsiTheme="minorHAnsi" w:cstheme="minorHAnsi"/>
          <w:lang w:eastAsia="en-GB"/>
        </w:rPr>
        <w:t>formula arriving at the initial guideline for Shifnal of 16 Ha of employment land.  The Council now seems to be incorrectly grossing up again at 40% for a second time in moving from the 16 Ha to the 40 Ha figure.</w:t>
      </w:r>
    </w:p>
    <w:p w:rsidR="00864981" w:rsidRDefault="00864981" w:rsidP="000E209B">
      <w:pPr>
        <w:pStyle w:val="ListParagraph"/>
        <w:numPr>
          <w:ilvl w:val="1"/>
          <w:numId w:val="1"/>
        </w:numPr>
        <w:spacing w:before="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We therefore </w:t>
      </w:r>
      <w:r w:rsidR="008A3370">
        <w:rPr>
          <w:rFonts w:asciiTheme="minorHAnsi" w:hAnsiTheme="minorHAnsi" w:cstheme="minorHAnsi"/>
          <w:lang w:eastAsia="en-GB"/>
        </w:rPr>
        <w:t>conclude</w:t>
      </w:r>
      <w:r>
        <w:rPr>
          <w:rFonts w:asciiTheme="minorHAnsi" w:hAnsiTheme="minorHAnsi" w:cstheme="minorHAnsi"/>
          <w:lang w:eastAsia="en-GB"/>
        </w:rPr>
        <w:t xml:space="preserve"> that the proposed allocation of 39 Ha of employment land at </w:t>
      </w:r>
      <w:r w:rsidRPr="007246D2">
        <w:rPr>
          <w:rFonts w:asciiTheme="minorHAnsi" w:hAnsiTheme="minorHAnsi" w:cstheme="minorHAnsi"/>
          <w:lang w:eastAsia="en-GB"/>
        </w:rPr>
        <w:t>SHF018b &amp; SHF018d</w:t>
      </w:r>
      <w:r>
        <w:rPr>
          <w:rFonts w:asciiTheme="minorHAnsi" w:hAnsiTheme="minorHAnsi" w:cstheme="minorHAnsi"/>
          <w:lang w:eastAsia="en-GB"/>
        </w:rPr>
        <w:t xml:space="preserve"> is </w:t>
      </w:r>
      <w:r w:rsidR="008A3370">
        <w:rPr>
          <w:rFonts w:asciiTheme="minorHAnsi" w:hAnsiTheme="minorHAnsi" w:cstheme="minorHAnsi"/>
          <w:lang w:eastAsia="en-GB"/>
        </w:rPr>
        <w:t xml:space="preserve">not </w:t>
      </w:r>
      <w:r w:rsidR="006E3877">
        <w:rPr>
          <w:rFonts w:asciiTheme="minorHAnsi" w:hAnsiTheme="minorHAnsi" w:cstheme="minorHAnsi"/>
          <w:lang w:eastAsia="en-GB"/>
        </w:rPr>
        <w:t>based on proportionate evidence, and is therefore not justified</w:t>
      </w:r>
      <w:r>
        <w:rPr>
          <w:rFonts w:asciiTheme="minorHAnsi" w:hAnsiTheme="minorHAnsi" w:cstheme="minorHAnsi"/>
          <w:lang w:eastAsia="en-GB"/>
        </w:rPr>
        <w:t>.</w:t>
      </w:r>
    </w:p>
    <w:p w:rsidR="00295DC2" w:rsidRPr="00487FF7" w:rsidRDefault="008A3370" w:rsidP="000E209B">
      <w:pPr>
        <w:pStyle w:val="ListParagraph"/>
        <w:numPr>
          <w:ilvl w:val="1"/>
          <w:numId w:val="1"/>
        </w:numPr>
        <w:spacing w:before="240"/>
        <w:ind w:left="0" w:hanging="567"/>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By the same logic, and also as explained in </w:t>
      </w:r>
      <w:r w:rsidR="00487FF7">
        <w:rPr>
          <w:rFonts w:asciiTheme="minorHAnsi" w:hAnsiTheme="minorHAnsi" w:cstheme="minorHAnsi"/>
          <w:lang w:eastAsia="en-GB"/>
        </w:rPr>
        <w:t xml:space="preserve">the </w:t>
      </w:r>
      <w:r>
        <w:rPr>
          <w:rFonts w:asciiTheme="minorHAnsi" w:hAnsiTheme="minorHAnsi" w:cstheme="minorHAnsi"/>
          <w:lang w:eastAsia="en-GB"/>
        </w:rPr>
        <w:t xml:space="preserve">section </w:t>
      </w:r>
      <w:r w:rsidR="00487FF7">
        <w:rPr>
          <w:rFonts w:asciiTheme="minorHAnsi" w:hAnsiTheme="minorHAnsi" w:cstheme="minorHAnsi"/>
          <w:lang w:eastAsia="en-GB"/>
        </w:rPr>
        <w:t>above on policy SP11, we</w:t>
      </w:r>
      <w:r w:rsidR="00864981">
        <w:rPr>
          <w:rFonts w:asciiTheme="minorHAnsi" w:hAnsiTheme="minorHAnsi" w:cstheme="minorHAnsi"/>
          <w:lang w:eastAsia="en-GB"/>
        </w:rPr>
        <w:t xml:space="preserve"> do not consider that any need has been soundly evidenced for the release </w:t>
      </w:r>
      <w:r w:rsidR="00487FF7">
        <w:rPr>
          <w:rFonts w:asciiTheme="minorHAnsi" w:hAnsiTheme="minorHAnsi" w:cstheme="minorHAnsi"/>
          <w:lang w:eastAsia="en-GB"/>
        </w:rPr>
        <w:t xml:space="preserve">from the Green Belt </w:t>
      </w:r>
      <w:r w:rsidR="00864981">
        <w:rPr>
          <w:rFonts w:asciiTheme="minorHAnsi" w:hAnsiTheme="minorHAnsi" w:cstheme="minorHAnsi"/>
          <w:lang w:eastAsia="en-GB"/>
        </w:rPr>
        <w:t xml:space="preserve">of </w:t>
      </w:r>
      <w:r w:rsidR="00487FF7">
        <w:rPr>
          <w:rFonts w:asciiTheme="minorHAnsi" w:hAnsiTheme="minorHAnsi" w:cstheme="minorHAnsi"/>
          <w:lang w:eastAsia="en-GB"/>
        </w:rPr>
        <w:t xml:space="preserve">the amount of </w:t>
      </w:r>
      <w:r w:rsidR="00864981">
        <w:rPr>
          <w:rFonts w:asciiTheme="minorHAnsi" w:hAnsiTheme="minorHAnsi" w:cstheme="minorHAnsi"/>
          <w:lang w:eastAsia="en-GB"/>
        </w:rPr>
        <w:t xml:space="preserve">safeguarded land </w:t>
      </w:r>
      <w:r w:rsidR="00487FF7">
        <w:rPr>
          <w:rFonts w:asciiTheme="minorHAnsi" w:hAnsiTheme="minorHAnsi" w:cstheme="minorHAnsi"/>
          <w:lang w:eastAsia="en-GB"/>
        </w:rPr>
        <w:t>proposed</w:t>
      </w:r>
      <w:r w:rsidR="00864981" w:rsidRPr="00EE13A3">
        <w:rPr>
          <w:rFonts w:asciiTheme="minorHAnsi" w:hAnsiTheme="minorHAnsi" w:cstheme="minorHAnsi"/>
          <w:lang w:eastAsia="en-GB"/>
        </w:rPr>
        <w:t xml:space="preserve">. </w:t>
      </w:r>
      <w:r w:rsidR="00864981">
        <w:rPr>
          <w:rFonts w:asciiTheme="minorHAnsi" w:hAnsiTheme="minorHAnsi" w:cstheme="minorHAnsi"/>
          <w:lang w:eastAsia="en-GB"/>
        </w:rPr>
        <w:t xml:space="preserve"> We note that no site references have been given for the land listed in </w:t>
      </w:r>
      <w:r w:rsidR="00864981" w:rsidRPr="00EE13A3">
        <w:rPr>
          <w:rFonts w:asciiTheme="minorHAnsi" w:hAnsiTheme="minorHAnsi" w:cstheme="minorHAnsi"/>
          <w:lang w:eastAsia="en-GB"/>
        </w:rPr>
        <w:t>Schedule S15.1(iii)</w:t>
      </w:r>
      <w:r w:rsidR="00864981">
        <w:rPr>
          <w:rFonts w:asciiTheme="minorHAnsi" w:hAnsiTheme="minorHAnsi" w:cstheme="minorHAnsi"/>
          <w:lang w:eastAsia="en-GB"/>
        </w:rPr>
        <w:t>, which makes it more difficult to cross-check to other evidence documents.</w:t>
      </w:r>
    </w:p>
    <w:p w:rsidR="00295DC2" w:rsidRPr="00635474" w:rsidRDefault="00295DC2" w:rsidP="00295DC2">
      <w:pPr>
        <w:pStyle w:val="Heading2"/>
        <w:keepNext w:val="0"/>
        <w:spacing w:before="240" w:after="120"/>
        <w:rPr>
          <w:rFonts w:asciiTheme="minorHAnsi" w:eastAsiaTheme="minorHAnsi" w:hAnsiTheme="minorHAnsi" w:cstheme="minorHAnsi"/>
          <w:b/>
          <w:i/>
          <w:color w:val="0070C0"/>
          <w:sz w:val="28"/>
          <w:szCs w:val="28"/>
          <w:lang w:eastAsia="en-GB"/>
        </w:rPr>
      </w:pPr>
      <w:bookmarkStart w:id="65" w:name="_Toc65242951"/>
      <w:r w:rsidRPr="005307CB">
        <w:rPr>
          <w:rFonts w:asciiTheme="minorHAnsi" w:eastAsiaTheme="minorHAnsi" w:hAnsiTheme="minorHAnsi" w:cstheme="minorHAnsi"/>
          <w:b/>
          <w:i/>
          <w:color w:val="0070C0"/>
          <w:sz w:val="28"/>
          <w:szCs w:val="28"/>
          <w:lang w:eastAsia="en-GB"/>
        </w:rPr>
        <w:t>Modification(s) considered necessary</w:t>
      </w:r>
      <w:bookmarkEnd w:id="65"/>
    </w:p>
    <w:p w:rsidR="00295DC2" w:rsidRDefault="00295DC2" w:rsidP="000E209B">
      <w:pPr>
        <w:pStyle w:val="ListParagraph"/>
        <w:numPr>
          <w:ilvl w:val="1"/>
          <w:numId w:val="1"/>
        </w:numPr>
        <w:spacing w:before="240"/>
        <w:ind w:left="0" w:hanging="709"/>
        <w:contextualSpacing w:val="0"/>
        <w:textAlignment w:val="baseline"/>
        <w:rPr>
          <w:rFonts w:asciiTheme="minorHAnsi" w:eastAsia="Arial" w:hAnsiTheme="minorHAnsi" w:cstheme="minorHAnsi"/>
          <w:color w:val="000000" w:themeColor="text1"/>
          <w:w w:val="105"/>
          <w:szCs w:val="24"/>
          <w:lang w:val="en-US"/>
        </w:rPr>
      </w:pPr>
      <w:r>
        <w:rPr>
          <w:rFonts w:asciiTheme="minorHAnsi" w:eastAsia="Arial" w:hAnsiTheme="minorHAnsi" w:cstheme="minorHAnsi"/>
          <w:color w:val="000000" w:themeColor="text1"/>
          <w:w w:val="105"/>
          <w:szCs w:val="24"/>
          <w:lang w:val="en-US"/>
        </w:rPr>
        <w:t>T</w:t>
      </w:r>
      <w:r w:rsidR="00487FF7">
        <w:rPr>
          <w:rFonts w:asciiTheme="minorHAnsi" w:eastAsia="Arial" w:hAnsiTheme="minorHAnsi" w:cstheme="minorHAnsi"/>
          <w:color w:val="000000" w:themeColor="text1"/>
          <w:w w:val="105"/>
          <w:szCs w:val="24"/>
          <w:lang w:val="en-US"/>
        </w:rPr>
        <w:t>he quantum of employment land proposed to be released from the Green Belt, both now and as safeguarded land, needs to be reappraised</w:t>
      </w:r>
      <w:r>
        <w:rPr>
          <w:rFonts w:asciiTheme="minorHAnsi" w:eastAsia="Arial" w:hAnsiTheme="minorHAnsi" w:cstheme="minorHAnsi"/>
          <w:color w:val="000000" w:themeColor="text1"/>
          <w:w w:val="105"/>
          <w:szCs w:val="24"/>
          <w:lang w:val="en-US"/>
        </w:rPr>
        <w:t>.</w:t>
      </w:r>
    </w:p>
    <w:p w:rsidR="00487FF7" w:rsidRPr="007A6D2B" w:rsidRDefault="00487FF7" w:rsidP="000E209B">
      <w:pPr>
        <w:pStyle w:val="ListParagraph"/>
        <w:numPr>
          <w:ilvl w:val="1"/>
          <w:numId w:val="1"/>
        </w:numPr>
        <w:spacing w:before="240"/>
        <w:ind w:left="0" w:hanging="709"/>
        <w:contextualSpacing w:val="0"/>
        <w:textAlignment w:val="baseline"/>
        <w:rPr>
          <w:rFonts w:asciiTheme="minorHAnsi" w:eastAsia="Arial" w:hAnsiTheme="minorHAnsi" w:cstheme="minorHAnsi"/>
          <w:color w:val="000000" w:themeColor="text1"/>
          <w:w w:val="105"/>
          <w:szCs w:val="24"/>
          <w:lang w:val="en-US"/>
        </w:rPr>
      </w:pPr>
      <w:r>
        <w:rPr>
          <w:rFonts w:asciiTheme="minorHAnsi" w:hAnsiTheme="minorHAnsi" w:cstheme="minorHAnsi"/>
          <w:lang w:eastAsia="en-GB"/>
        </w:rPr>
        <w:t xml:space="preserve">Site references should be given for the land listed in </w:t>
      </w:r>
      <w:r w:rsidRPr="00EE13A3">
        <w:rPr>
          <w:rFonts w:asciiTheme="minorHAnsi" w:hAnsiTheme="minorHAnsi" w:cstheme="minorHAnsi"/>
          <w:lang w:eastAsia="en-GB"/>
        </w:rPr>
        <w:t>Schedule S15.1(iii)</w:t>
      </w:r>
    </w:p>
    <w:p w:rsidR="00F76E90" w:rsidRPr="00487FF7" w:rsidRDefault="00F76E90" w:rsidP="002801A7">
      <w:pPr>
        <w:pStyle w:val="ListParagraph"/>
        <w:numPr>
          <w:ilvl w:val="1"/>
          <w:numId w:val="0"/>
        </w:numPr>
        <w:spacing w:after="240"/>
        <w:contextualSpacing w:val="0"/>
        <w:textAlignment w:val="baseline"/>
        <w:rPr>
          <w:rFonts w:asciiTheme="minorHAnsi" w:hAnsiTheme="minorHAnsi" w:cstheme="minorHAnsi"/>
          <w:szCs w:val="24"/>
          <w:lang w:eastAsia="en-GB"/>
        </w:rPr>
      </w:pPr>
    </w:p>
    <w:p w:rsidR="00955DFC" w:rsidRDefault="00955DFC" w:rsidP="00955DFC">
      <w:pPr>
        <w:pStyle w:val="ListParagraph"/>
        <w:spacing w:after="240"/>
        <w:contextualSpacing w:val="0"/>
        <w:textAlignment w:val="baseline"/>
        <w:rPr>
          <w:rFonts w:asciiTheme="minorHAnsi" w:hAnsiTheme="minorHAnsi" w:cstheme="minorHAnsi"/>
          <w:lang w:eastAsia="en-GB"/>
        </w:rPr>
        <w:sectPr w:rsidR="00955DFC" w:rsidSect="00A9153A">
          <w:pgSz w:w="11906" w:h="16838" w:code="9"/>
          <w:pgMar w:top="1134" w:right="1440" w:bottom="567" w:left="1440" w:header="567" w:footer="624" w:gutter="0"/>
          <w:cols w:space="708"/>
          <w:docGrid w:linePitch="360"/>
        </w:sectPr>
      </w:pPr>
    </w:p>
    <w:p w:rsidR="0001370F" w:rsidRPr="00DD535F" w:rsidRDefault="0001370F" w:rsidP="00955DFC">
      <w:pPr>
        <w:autoSpaceDE w:val="0"/>
        <w:autoSpaceDN w:val="0"/>
        <w:adjustRightInd w:val="0"/>
        <w:spacing w:before="100" w:beforeAutospacing="1" w:after="100" w:afterAutospacing="1"/>
        <w:rPr>
          <w:rFonts w:asciiTheme="minorHAnsi" w:hAnsiTheme="minorHAnsi" w:cstheme="minorHAnsi"/>
          <w:lang w:eastAsia="en-GB"/>
        </w:rPr>
      </w:pPr>
    </w:p>
    <w:p w:rsidR="0001370F" w:rsidRPr="00955DFC" w:rsidRDefault="00071650" w:rsidP="00955DFC">
      <w:pPr>
        <w:pStyle w:val="Heading1"/>
        <w:rPr>
          <w:rFonts w:asciiTheme="minorHAnsi" w:hAnsiTheme="minorHAnsi" w:cstheme="minorHAnsi"/>
          <w:sz w:val="24"/>
          <w:szCs w:val="24"/>
        </w:rPr>
      </w:pPr>
      <w:bookmarkStart w:id="66" w:name="_Toc65242952"/>
      <w:r w:rsidRPr="00071650">
        <w:rPr>
          <w:rFonts w:asciiTheme="minorHAnsi" w:hAnsiTheme="minorHAnsi" w:cstheme="minorHAnsi"/>
          <w:sz w:val="24"/>
          <w:szCs w:val="24"/>
        </w:rPr>
        <w:t>Appendix 1 :</w:t>
      </w:r>
      <w:r w:rsidRPr="00071650">
        <w:rPr>
          <w:rFonts w:asciiTheme="minorHAnsi" w:hAnsiTheme="minorHAnsi" w:cstheme="minorHAnsi"/>
          <w:b w:val="0"/>
          <w:sz w:val="24"/>
          <w:szCs w:val="24"/>
        </w:rPr>
        <w:t xml:space="preserve"> </w:t>
      </w:r>
      <w:r w:rsidRPr="00071650">
        <w:rPr>
          <w:rFonts w:asciiTheme="minorHAnsi" w:hAnsiTheme="minorHAnsi" w:cstheme="minorHAnsi"/>
          <w:sz w:val="24"/>
          <w:szCs w:val="24"/>
        </w:rPr>
        <w:t>Consultation response to Draft Statement of Community Involvement</w:t>
      </w:r>
      <w:r w:rsidR="0001370F" w:rsidRPr="00955DFC">
        <w:rPr>
          <w:rFonts w:asciiTheme="minorHAnsi" w:hAnsiTheme="minorHAnsi" w:cstheme="minorHAnsi"/>
          <w:noProof/>
          <w:sz w:val="24"/>
          <w:szCs w:val="24"/>
        </w:rPr>
        <w:drawing>
          <wp:anchor distT="0" distB="0" distL="114300" distR="114300" simplePos="0" relativeHeight="251683840" behindDoc="0" locked="0" layoutInCell="1" allowOverlap="1" wp14:anchorId="6F369A87" wp14:editId="1CD31592">
            <wp:simplePos x="0" y="0"/>
            <wp:positionH relativeFrom="column">
              <wp:posOffset>-200025</wp:posOffset>
            </wp:positionH>
            <wp:positionV relativeFrom="paragraph">
              <wp:posOffset>810895</wp:posOffset>
            </wp:positionV>
            <wp:extent cx="6543675" cy="129794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2325" t="13295" r="28043" b="62183"/>
                    <a:stretch>
                      <a:fillRect/>
                    </a:stretch>
                  </pic:blipFill>
                  <pic:spPr bwMode="auto">
                    <a:xfrm>
                      <a:off x="0" y="0"/>
                      <a:ext cx="6543675" cy="12979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6"/>
    </w:p>
    <w:p w:rsidR="0001370F" w:rsidRPr="00DD535F" w:rsidRDefault="0001370F" w:rsidP="0001370F">
      <w:pPr>
        <w:autoSpaceDE w:val="0"/>
        <w:autoSpaceDN w:val="0"/>
        <w:adjustRightInd w:val="0"/>
        <w:spacing w:before="100" w:beforeAutospacing="1" w:after="100" w:afterAutospacing="1"/>
        <w:rPr>
          <w:rFonts w:asciiTheme="minorHAnsi" w:hAnsiTheme="minorHAnsi" w:cstheme="minorHAnsi"/>
          <w:sz w:val="36"/>
          <w:szCs w:val="36"/>
          <w:lang w:eastAsia="en-GB"/>
        </w:rPr>
      </w:pPr>
    </w:p>
    <w:p w:rsidR="0001370F" w:rsidRDefault="0001370F" w:rsidP="0001370F">
      <w:pPr>
        <w:autoSpaceDE w:val="0"/>
        <w:autoSpaceDN w:val="0"/>
        <w:adjustRightInd w:val="0"/>
        <w:spacing w:before="100" w:beforeAutospacing="1" w:after="100" w:afterAutospacing="1"/>
        <w:jc w:val="center"/>
        <w:rPr>
          <w:rFonts w:ascii="Trebuchet MS" w:hAnsi="Trebuchet MS" w:cs="Verdana"/>
          <w:sz w:val="36"/>
          <w:szCs w:val="36"/>
          <w:lang w:eastAsia="en-GB"/>
        </w:rPr>
      </w:pPr>
    </w:p>
    <w:p w:rsidR="0001370F" w:rsidRDefault="0001370F" w:rsidP="0001370F">
      <w:pPr>
        <w:autoSpaceDE w:val="0"/>
        <w:autoSpaceDN w:val="0"/>
        <w:adjustRightInd w:val="0"/>
        <w:spacing w:before="100" w:beforeAutospacing="1"/>
        <w:jc w:val="center"/>
        <w:rPr>
          <w:rFonts w:asciiTheme="minorHAnsi" w:hAnsiTheme="minorHAnsi" w:cstheme="minorHAnsi"/>
          <w:b/>
          <w:sz w:val="40"/>
          <w:szCs w:val="40"/>
          <w:lang w:eastAsia="en-GB"/>
        </w:rPr>
      </w:pPr>
      <w:r w:rsidRPr="00196EA7">
        <w:rPr>
          <w:rFonts w:asciiTheme="minorHAnsi" w:hAnsiTheme="minorHAnsi" w:cstheme="minorHAnsi"/>
          <w:b/>
          <w:sz w:val="40"/>
          <w:szCs w:val="40"/>
          <w:lang w:eastAsia="en-GB"/>
        </w:rPr>
        <w:t>Draft State</w:t>
      </w:r>
      <w:r>
        <w:rPr>
          <w:rFonts w:asciiTheme="minorHAnsi" w:hAnsiTheme="minorHAnsi" w:cstheme="minorHAnsi"/>
          <w:b/>
          <w:sz w:val="40"/>
          <w:szCs w:val="40"/>
          <w:lang w:eastAsia="en-GB"/>
        </w:rPr>
        <w:t>ment of Community Involvement</w:t>
      </w:r>
    </w:p>
    <w:p w:rsidR="0001370F" w:rsidRPr="00196EA7" w:rsidRDefault="0001370F" w:rsidP="0001370F">
      <w:pPr>
        <w:autoSpaceDE w:val="0"/>
        <w:autoSpaceDN w:val="0"/>
        <w:adjustRightInd w:val="0"/>
        <w:spacing w:after="100" w:afterAutospacing="1"/>
        <w:jc w:val="center"/>
        <w:rPr>
          <w:rFonts w:asciiTheme="minorHAnsi" w:hAnsiTheme="minorHAnsi" w:cstheme="minorHAnsi"/>
          <w:b/>
          <w:sz w:val="40"/>
          <w:szCs w:val="40"/>
          <w:lang w:eastAsia="en-GB"/>
        </w:rPr>
      </w:pPr>
      <w:r w:rsidRPr="00196EA7">
        <w:rPr>
          <w:rFonts w:asciiTheme="minorHAnsi" w:hAnsiTheme="minorHAnsi" w:cstheme="minorHAnsi"/>
          <w:b/>
          <w:sz w:val="40"/>
          <w:szCs w:val="40"/>
          <w:lang w:eastAsia="en-GB"/>
        </w:rPr>
        <w:t>Nov</w:t>
      </w:r>
      <w:r>
        <w:rPr>
          <w:rFonts w:asciiTheme="minorHAnsi" w:hAnsiTheme="minorHAnsi" w:cstheme="minorHAnsi"/>
          <w:b/>
          <w:sz w:val="40"/>
          <w:szCs w:val="40"/>
          <w:lang w:eastAsia="en-GB"/>
        </w:rPr>
        <w:t>ember</w:t>
      </w:r>
      <w:r w:rsidRPr="00196EA7">
        <w:rPr>
          <w:rFonts w:asciiTheme="minorHAnsi" w:hAnsiTheme="minorHAnsi" w:cstheme="minorHAnsi"/>
          <w:b/>
          <w:sz w:val="40"/>
          <w:szCs w:val="40"/>
          <w:lang w:eastAsia="en-GB"/>
        </w:rPr>
        <w:t xml:space="preserve"> 2020</w:t>
      </w:r>
    </w:p>
    <w:p w:rsidR="0001370F" w:rsidRDefault="0001370F" w:rsidP="0001370F">
      <w:pPr>
        <w:autoSpaceDE w:val="0"/>
        <w:autoSpaceDN w:val="0"/>
        <w:adjustRightInd w:val="0"/>
        <w:spacing w:before="720"/>
        <w:jc w:val="center"/>
        <w:rPr>
          <w:rFonts w:asciiTheme="minorHAnsi" w:hAnsiTheme="minorHAnsi" w:cstheme="minorHAnsi"/>
          <w:b/>
          <w:sz w:val="40"/>
          <w:szCs w:val="40"/>
          <w:lang w:eastAsia="en-GB"/>
        </w:rPr>
      </w:pPr>
      <w:r>
        <w:rPr>
          <w:rFonts w:asciiTheme="minorHAnsi" w:hAnsiTheme="minorHAnsi" w:cstheme="minorHAnsi"/>
          <w:b/>
          <w:sz w:val="40"/>
          <w:szCs w:val="40"/>
          <w:lang w:eastAsia="en-GB"/>
        </w:rPr>
        <w:t>Consultation response</w:t>
      </w:r>
    </w:p>
    <w:p w:rsidR="0001370F" w:rsidRDefault="0001370F" w:rsidP="0001370F">
      <w:pPr>
        <w:autoSpaceDE w:val="0"/>
        <w:autoSpaceDN w:val="0"/>
        <w:adjustRightInd w:val="0"/>
        <w:spacing w:after="240"/>
        <w:jc w:val="center"/>
        <w:rPr>
          <w:rFonts w:asciiTheme="minorHAnsi" w:hAnsiTheme="minorHAnsi" w:cstheme="minorHAnsi"/>
          <w:b/>
          <w:sz w:val="40"/>
          <w:szCs w:val="40"/>
          <w:lang w:eastAsia="en-GB"/>
        </w:rPr>
      </w:pPr>
      <w:r>
        <w:rPr>
          <w:rFonts w:asciiTheme="minorHAnsi" w:hAnsiTheme="minorHAnsi" w:cstheme="minorHAnsi"/>
          <w:b/>
          <w:sz w:val="40"/>
          <w:szCs w:val="40"/>
          <w:lang w:eastAsia="en-GB"/>
        </w:rPr>
        <w:t>from CPRE Shropshire Branch</w:t>
      </w:r>
    </w:p>
    <w:p w:rsidR="0001370F" w:rsidRDefault="0001370F" w:rsidP="0001370F">
      <w:pPr>
        <w:autoSpaceDE w:val="0"/>
        <w:autoSpaceDN w:val="0"/>
        <w:adjustRightInd w:val="0"/>
        <w:spacing w:before="100" w:beforeAutospacing="1" w:after="240"/>
        <w:jc w:val="center"/>
        <w:rPr>
          <w:rFonts w:asciiTheme="minorHAnsi" w:hAnsiTheme="minorHAnsi" w:cstheme="minorHAnsi"/>
          <w:b/>
          <w:sz w:val="40"/>
          <w:szCs w:val="40"/>
          <w:lang w:eastAsia="en-GB"/>
        </w:rPr>
      </w:pPr>
    </w:p>
    <w:p w:rsidR="0001370F" w:rsidRDefault="0001370F" w:rsidP="0001370F">
      <w:pPr>
        <w:autoSpaceDE w:val="0"/>
        <w:autoSpaceDN w:val="0"/>
        <w:adjustRightInd w:val="0"/>
        <w:spacing w:before="100" w:beforeAutospacing="1" w:after="240"/>
        <w:jc w:val="center"/>
        <w:rPr>
          <w:rFonts w:asciiTheme="minorHAnsi" w:hAnsiTheme="minorHAnsi" w:cstheme="minorHAnsi"/>
          <w:b/>
          <w:sz w:val="40"/>
          <w:szCs w:val="40"/>
          <w:lang w:eastAsia="en-GB"/>
        </w:rPr>
      </w:pPr>
    </w:p>
    <w:p w:rsidR="0001370F" w:rsidRPr="0048269B" w:rsidRDefault="0001370F" w:rsidP="0001370F">
      <w:pPr>
        <w:autoSpaceDE w:val="0"/>
        <w:autoSpaceDN w:val="0"/>
        <w:adjustRightInd w:val="0"/>
        <w:spacing w:before="100" w:beforeAutospacing="1" w:after="100" w:afterAutospacing="1"/>
        <w:jc w:val="center"/>
        <w:rPr>
          <w:rFonts w:asciiTheme="minorHAnsi" w:hAnsiTheme="minorHAnsi" w:cstheme="minorHAnsi"/>
          <w:b/>
          <w:sz w:val="40"/>
          <w:szCs w:val="40"/>
          <w:lang w:eastAsia="en-GB"/>
        </w:rPr>
      </w:pPr>
      <w:r>
        <w:rPr>
          <w:rFonts w:asciiTheme="minorHAnsi" w:hAnsiTheme="minorHAnsi" w:cstheme="minorHAnsi"/>
          <w:b/>
          <w:sz w:val="40"/>
          <w:szCs w:val="40"/>
          <w:lang w:eastAsia="en-GB"/>
        </w:rPr>
        <w:t>January 2021</w:t>
      </w:r>
      <w:r>
        <w:rPr>
          <w:rFonts w:ascii="Trebuchet MS" w:hAnsi="Trebuchet MS" w:cs="Verdana"/>
          <w:b/>
          <w:sz w:val="40"/>
          <w:szCs w:val="40"/>
          <w:lang w:eastAsia="en-GB"/>
        </w:rPr>
        <w:br w:type="page"/>
      </w:r>
    </w:p>
    <w:p w:rsidR="001D2792" w:rsidRPr="001D2792" w:rsidRDefault="001D2792" w:rsidP="001D2792">
      <w:pPr>
        <w:pStyle w:val="ListParagraph"/>
        <w:spacing w:before="360"/>
        <w:contextualSpacing w:val="0"/>
        <w:rPr>
          <w:rFonts w:asciiTheme="minorHAnsi" w:hAnsiTheme="minorHAnsi" w:cstheme="minorHAnsi"/>
          <w:b/>
          <w:color w:val="0070C0"/>
          <w:sz w:val="36"/>
          <w:szCs w:val="36"/>
          <w:lang w:eastAsia="en-GB"/>
        </w:rPr>
      </w:pPr>
      <w:r w:rsidRPr="001D2792">
        <w:rPr>
          <w:rFonts w:asciiTheme="minorHAnsi" w:hAnsiTheme="minorHAnsi" w:cstheme="minorHAnsi"/>
          <w:b/>
          <w:color w:val="0070C0"/>
          <w:sz w:val="36"/>
          <w:szCs w:val="36"/>
          <w:lang w:eastAsia="en-GB"/>
        </w:rPr>
        <w:lastRenderedPageBreak/>
        <w:t>Introduction</w:t>
      </w:r>
    </w:p>
    <w:p w:rsidR="001D2792" w:rsidRDefault="001D2792" w:rsidP="001D2792">
      <w:pPr>
        <w:pStyle w:val="ListParagraph"/>
        <w:numPr>
          <w:ilvl w:val="1"/>
          <w:numId w:val="0"/>
        </w:numPr>
        <w:contextualSpacing w:val="0"/>
        <w:textAlignment w:val="baseline"/>
        <w:rPr>
          <w:rFonts w:asciiTheme="minorHAnsi" w:hAnsiTheme="minorHAnsi" w:cstheme="minorHAnsi"/>
          <w:lang w:eastAsia="en-GB"/>
        </w:rPr>
      </w:pPr>
      <w:r>
        <w:rPr>
          <w:rFonts w:asciiTheme="minorHAnsi" w:hAnsiTheme="minorHAnsi" w:cstheme="minorHAnsi"/>
          <w:lang w:eastAsia="en-GB"/>
        </w:rPr>
        <w:t>CPRE Shropshire welcomes the opportunity to comment on the Draft Statement of Community Involvement (DSCI) for Shropshire which is out for consultation for 12 weeks from 9 November 2020 to 1 February 2021.</w:t>
      </w:r>
    </w:p>
    <w:p w:rsidR="001D2792" w:rsidRDefault="001D2792" w:rsidP="001D2792">
      <w:pPr>
        <w:pStyle w:val="ListParagraph"/>
        <w:numPr>
          <w:ilvl w:val="1"/>
          <w:numId w:val="0"/>
        </w:numPr>
        <w:contextualSpacing w:val="0"/>
        <w:textAlignment w:val="baseline"/>
        <w:rPr>
          <w:rFonts w:asciiTheme="minorHAnsi" w:hAnsiTheme="minorHAnsi" w:cstheme="minorHAnsi"/>
          <w:lang w:eastAsia="en-GB"/>
        </w:rPr>
      </w:pPr>
      <w:r>
        <w:rPr>
          <w:rFonts w:asciiTheme="minorHAnsi" w:hAnsiTheme="minorHAnsi" w:cstheme="minorHAnsi"/>
          <w:lang w:eastAsia="en-GB"/>
        </w:rPr>
        <w:t>The DSCI was first published for the Cabinet meeting on 7 September 2020 and was released for consultation in an unchanged form (subject to a change of date on the front cover) on 9 November 2020.</w:t>
      </w:r>
    </w:p>
    <w:p w:rsidR="001D2792" w:rsidRDefault="001D2792" w:rsidP="001D2792">
      <w:pPr>
        <w:pStyle w:val="ListParagraph"/>
        <w:numPr>
          <w:ilvl w:val="1"/>
          <w:numId w:val="0"/>
        </w:numPr>
        <w:contextualSpacing w:val="0"/>
        <w:textAlignment w:val="baseline"/>
        <w:rPr>
          <w:rFonts w:asciiTheme="minorHAnsi" w:hAnsiTheme="minorHAnsi" w:cstheme="minorHAnsi"/>
          <w:lang w:eastAsia="en-GB"/>
        </w:rPr>
      </w:pPr>
      <w:r>
        <w:rPr>
          <w:rFonts w:asciiTheme="minorHAnsi" w:hAnsiTheme="minorHAnsi" w:cstheme="minorHAnsi"/>
          <w:lang w:eastAsia="en-GB"/>
        </w:rPr>
        <w:t>It is disappointing, and perhaps an indication of the pressure on the staff tasked with the preparation of the document, that both versions of the DSCI contained a large number of proof-reading errors, including references to outdated legislation.  This gives a poor impression of the quality control procedures within Shropshire Council.  We are submitting separately a “Track Changes” version of a Word document derived from the published pdf document, which gives an indication of the proof-reading corrections that should have been made prior to either stage of publication.</w:t>
      </w:r>
    </w:p>
    <w:p w:rsidR="001D2792" w:rsidRDefault="001D2792" w:rsidP="001D2792">
      <w:pPr>
        <w:pStyle w:val="ListParagraph"/>
        <w:numPr>
          <w:ilvl w:val="1"/>
          <w:numId w:val="0"/>
        </w:numPr>
        <w:contextualSpacing w:val="0"/>
        <w:textAlignment w:val="baseline"/>
        <w:rPr>
          <w:rFonts w:asciiTheme="minorHAnsi" w:hAnsiTheme="minorHAnsi" w:cstheme="minorHAnsi"/>
          <w:lang w:eastAsia="en-GB"/>
        </w:rPr>
      </w:pPr>
      <w:r>
        <w:rPr>
          <w:rFonts w:asciiTheme="minorHAnsi" w:hAnsiTheme="minorHAnsi" w:cstheme="minorHAnsi"/>
          <w:lang w:eastAsia="en-GB"/>
        </w:rPr>
        <w:t>We emphasise that this “Track Changes” document deals only with proof-reading corrections in the original DSCI as published for consultation.  It does not include any of the other further changes that we are suggesting below also be made to the DSCI.</w:t>
      </w:r>
    </w:p>
    <w:p w:rsidR="001D2792" w:rsidRDefault="001D2792" w:rsidP="001D2792">
      <w:pPr>
        <w:pStyle w:val="ListParagraph"/>
        <w:numPr>
          <w:ilvl w:val="1"/>
          <w:numId w:val="0"/>
        </w:numPr>
        <w:contextualSpacing w:val="0"/>
        <w:textAlignment w:val="baseline"/>
        <w:rPr>
          <w:rFonts w:asciiTheme="minorHAnsi" w:hAnsiTheme="minorHAnsi" w:cstheme="minorHAnsi"/>
          <w:lang w:eastAsia="en-GB"/>
        </w:rPr>
      </w:pPr>
      <w:r>
        <w:rPr>
          <w:rFonts w:asciiTheme="minorHAnsi" w:hAnsiTheme="minorHAnsi" w:cstheme="minorHAnsi"/>
          <w:lang w:eastAsia="en-GB"/>
        </w:rPr>
        <w:t>The statutory requirement is that Shropshire Council has an up-to-date and adopted Statement of Community Involvement.  The existing SCI was adopted as long ago as March 2011.  It is debatable whether the current Regulation 19 consultation on the Local Plan is truly valid without an up-to-date and adopted SCI being in place first.</w:t>
      </w:r>
    </w:p>
    <w:p w:rsidR="001D2792" w:rsidRPr="00885951" w:rsidRDefault="001D2792" w:rsidP="001D2792">
      <w:pPr>
        <w:pStyle w:val="ListParagraph"/>
        <w:spacing w:before="360"/>
        <w:contextualSpacing w:val="0"/>
        <w:rPr>
          <w:rFonts w:asciiTheme="minorHAnsi" w:hAnsiTheme="minorHAnsi" w:cstheme="minorHAnsi"/>
          <w:b/>
          <w:color w:val="0070C0"/>
          <w:sz w:val="36"/>
          <w:szCs w:val="36"/>
          <w:lang w:eastAsia="en-GB"/>
        </w:rPr>
      </w:pPr>
      <w:r>
        <w:rPr>
          <w:rFonts w:asciiTheme="minorHAnsi" w:hAnsiTheme="minorHAnsi" w:cstheme="minorHAnsi"/>
          <w:b/>
          <w:color w:val="0070C0"/>
          <w:sz w:val="36"/>
          <w:szCs w:val="36"/>
          <w:lang w:eastAsia="en-GB"/>
        </w:rPr>
        <w:t>Consultation principles</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The DSCI deals with how Shropshire Council consults its public.  CPRE Shropshire responds frequently to such consultations.  We have responded at length to the series of consultations on the Local Plan Review and to other policy consultations, and we review planning applications on a weekly basis and respond as appropriate.  Our comments below are largely derived from our experience of such consultations.</w:t>
      </w:r>
    </w:p>
    <w:p w:rsidR="001D2792" w:rsidRDefault="001D2792" w:rsidP="001D2792">
      <w:pPr>
        <w:pStyle w:val="ListParagraph"/>
        <w:numPr>
          <w:ilvl w:val="1"/>
          <w:numId w:val="0"/>
        </w:numPr>
        <w:contextualSpacing w:val="0"/>
        <w:textAlignment w:val="baseline"/>
        <w:rPr>
          <w:rFonts w:asciiTheme="minorHAnsi" w:hAnsiTheme="minorHAnsi" w:cstheme="minorHAnsi"/>
          <w:lang w:eastAsia="en-GB"/>
        </w:rPr>
      </w:pPr>
      <w:r>
        <w:rPr>
          <w:rFonts w:asciiTheme="minorHAnsi" w:hAnsiTheme="minorHAnsi" w:cstheme="minorHAnsi"/>
          <w:lang w:eastAsia="en-GB"/>
        </w:rPr>
        <w:t>In regard to consultation issues we have frequently referred to the Gunning principles of consultation as below:</w:t>
      </w:r>
    </w:p>
    <w:p w:rsidR="001D2792" w:rsidRPr="00EC4E3E" w:rsidRDefault="001D2792" w:rsidP="001D2792">
      <w:pPr>
        <w:shd w:val="clear" w:color="auto" w:fill="FFFFFF"/>
        <w:spacing w:after="60"/>
        <w:rPr>
          <w:rFonts w:asciiTheme="minorHAnsi" w:eastAsiaTheme="minorHAnsi" w:hAnsiTheme="minorHAnsi" w:cstheme="minorHAnsi"/>
          <w:szCs w:val="22"/>
          <w:lang w:eastAsia="en-GB"/>
        </w:rPr>
      </w:pPr>
      <w:r w:rsidRPr="00EC4E3E">
        <w:rPr>
          <w:rFonts w:asciiTheme="minorHAnsi" w:eastAsiaTheme="minorHAnsi" w:hAnsiTheme="minorHAnsi" w:cstheme="minorHAnsi"/>
          <w:szCs w:val="22"/>
          <w:lang w:eastAsia="en-GB"/>
        </w:rPr>
        <w:t>The Gunning principles are that:</w:t>
      </w:r>
    </w:p>
    <w:p w:rsidR="001D2792" w:rsidRPr="002D1FD7" w:rsidRDefault="001D2792" w:rsidP="001D2792">
      <w:pPr>
        <w:pStyle w:val="ListParagraph"/>
        <w:shd w:val="clear" w:color="auto" w:fill="FFFFFF"/>
        <w:spacing w:after="60"/>
        <w:rPr>
          <w:rFonts w:asciiTheme="minorHAnsi" w:hAnsiTheme="minorHAnsi" w:cstheme="minorHAnsi"/>
          <w:lang w:eastAsia="en-GB"/>
        </w:rPr>
      </w:pPr>
      <w:r w:rsidRPr="002D1FD7">
        <w:rPr>
          <w:rFonts w:asciiTheme="minorHAnsi" w:hAnsiTheme="minorHAnsi" w:cstheme="minorHAnsi"/>
          <w:lang w:eastAsia="en-GB"/>
        </w:rPr>
        <w:t>Consultation must take place when the proposal is still at a formative stage</w:t>
      </w:r>
    </w:p>
    <w:p w:rsidR="001D2792" w:rsidRPr="00EC4E3E" w:rsidRDefault="001D2792" w:rsidP="001D2792">
      <w:pPr>
        <w:shd w:val="clear" w:color="auto" w:fill="FFFFFF"/>
        <w:spacing w:after="60"/>
        <w:rPr>
          <w:rFonts w:asciiTheme="minorHAnsi" w:eastAsiaTheme="minorHAnsi" w:hAnsiTheme="minorHAnsi" w:cstheme="minorHAnsi"/>
          <w:szCs w:val="22"/>
          <w:lang w:eastAsia="en-GB"/>
        </w:rPr>
      </w:pPr>
      <w:r w:rsidRPr="00EC4E3E">
        <w:rPr>
          <w:rFonts w:asciiTheme="minorHAnsi" w:eastAsiaTheme="minorHAnsi" w:hAnsiTheme="minorHAnsi" w:cstheme="minorHAnsi"/>
          <w:szCs w:val="22"/>
          <w:lang w:eastAsia="en-GB"/>
        </w:rPr>
        <w:t>Sufficient reasons must be put forward for the proposal to allow for intelligent consideration and response</w:t>
      </w:r>
    </w:p>
    <w:p w:rsidR="001D2792" w:rsidRPr="00EC4E3E" w:rsidRDefault="001D2792" w:rsidP="001D2792">
      <w:pPr>
        <w:shd w:val="clear" w:color="auto" w:fill="FFFFFF"/>
        <w:spacing w:after="60"/>
        <w:rPr>
          <w:rFonts w:asciiTheme="minorHAnsi" w:eastAsiaTheme="minorHAnsi" w:hAnsiTheme="minorHAnsi" w:cstheme="minorHAnsi"/>
          <w:szCs w:val="22"/>
          <w:lang w:eastAsia="en-GB"/>
        </w:rPr>
      </w:pPr>
      <w:r w:rsidRPr="00EC4E3E">
        <w:rPr>
          <w:rFonts w:asciiTheme="minorHAnsi" w:eastAsiaTheme="minorHAnsi" w:hAnsiTheme="minorHAnsi" w:cstheme="minorHAnsi"/>
          <w:szCs w:val="22"/>
          <w:lang w:eastAsia="en-GB"/>
        </w:rPr>
        <w:t>Adequate time must be given for consideration and response</w:t>
      </w:r>
    </w:p>
    <w:p w:rsidR="001D2792" w:rsidRPr="00EC4E3E" w:rsidRDefault="001D2792" w:rsidP="001D2792">
      <w:pPr>
        <w:shd w:val="clear" w:color="auto" w:fill="FFFFFF"/>
        <w:spacing w:after="240"/>
        <w:rPr>
          <w:rFonts w:asciiTheme="minorHAnsi" w:eastAsiaTheme="minorHAnsi" w:hAnsiTheme="minorHAnsi" w:cstheme="minorHAnsi"/>
          <w:szCs w:val="22"/>
          <w:lang w:eastAsia="en-GB"/>
        </w:rPr>
      </w:pPr>
      <w:r w:rsidRPr="00EC4E3E">
        <w:rPr>
          <w:rFonts w:asciiTheme="minorHAnsi" w:eastAsiaTheme="minorHAnsi" w:hAnsiTheme="minorHAnsi" w:cstheme="minorHAnsi"/>
          <w:szCs w:val="22"/>
          <w:lang w:eastAsia="en-GB"/>
        </w:rPr>
        <w:t>The product of consultation must be conscientiously taken into account</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We suggest that these principles should be incorporated into the final SCI, with a statement that Shropshire Council will abide by them.</w:t>
      </w:r>
    </w:p>
    <w:p w:rsidR="001D2792" w:rsidRPr="00304F9E"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sidRPr="00A35F31">
        <w:rPr>
          <w:rFonts w:asciiTheme="minorHAnsi" w:hAnsiTheme="minorHAnsi" w:cstheme="minorHAnsi"/>
          <w:lang w:eastAsia="en-GB"/>
        </w:rPr>
        <w:lastRenderedPageBreak/>
        <w:t xml:space="preserve">There is also the Government’s own </w:t>
      </w:r>
      <w:r w:rsidRPr="00304F9E">
        <w:rPr>
          <w:rFonts w:asciiTheme="minorHAnsi" w:hAnsiTheme="minorHAnsi" w:cstheme="minorHAnsi"/>
          <w:i/>
          <w:lang w:eastAsia="en-GB"/>
        </w:rPr>
        <w:t>Code of Practice on Consultation</w:t>
      </w:r>
      <w:r w:rsidRPr="00A35F31">
        <w:rPr>
          <w:rFonts w:asciiTheme="minorHAnsi" w:hAnsiTheme="minorHAnsi" w:cstheme="minorHAnsi"/>
          <w:lang w:eastAsia="en-GB"/>
        </w:rPr>
        <w:t xml:space="preserve">, published in 2008 (see </w:t>
      </w:r>
      <w:hyperlink r:id="rId31" w:history="1">
        <w:r w:rsidRPr="00A35F31">
          <w:rPr>
            <w:rFonts w:asciiTheme="minorHAnsi" w:eastAsia="Times New Roman" w:hAnsiTheme="minorHAnsi" w:cstheme="minorHAnsi"/>
            <w:color w:val="0000FF"/>
            <w:szCs w:val="24"/>
            <w:u w:val="single"/>
          </w:rPr>
          <w:t>Layout 1 (publishing.service.gov.uk)</w:t>
        </w:r>
      </w:hyperlink>
      <w:r w:rsidRPr="00A35F31">
        <w:rPr>
          <w:rFonts w:asciiTheme="minorHAnsi" w:eastAsia="Times New Roman" w:hAnsiTheme="minorHAnsi" w:cstheme="minorHAnsi"/>
          <w:szCs w:val="24"/>
        </w:rPr>
        <w:t xml:space="preserve">).  Although this refers to Government consultations </w:t>
      </w:r>
      <w:r>
        <w:rPr>
          <w:rFonts w:asciiTheme="minorHAnsi" w:eastAsia="Times New Roman" w:hAnsiTheme="minorHAnsi" w:cstheme="minorHAnsi"/>
          <w:szCs w:val="24"/>
        </w:rPr>
        <w:t xml:space="preserve">there seems no reason why </w:t>
      </w:r>
      <w:r w:rsidRPr="00A35F31">
        <w:rPr>
          <w:rFonts w:asciiTheme="minorHAnsi" w:eastAsia="Times New Roman" w:hAnsiTheme="minorHAnsi" w:cstheme="minorHAnsi"/>
          <w:szCs w:val="24"/>
        </w:rPr>
        <w:t>it</w:t>
      </w:r>
      <w:r>
        <w:rPr>
          <w:rFonts w:asciiTheme="minorHAnsi" w:eastAsia="Times New Roman" w:hAnsiTheme="minorHAnsi" w:cstheme="minorHAnsi"/>
          <w:szCs w:val="24"/>
        </w:rPr>
        <w:t>s seven consultation criteria</w:t>
      </w:r>
      <w:r w:rsidRPr="00A35F31">
        <w:rPr>
          <w:rFonts w:asciiTheme="minorHAnsi" w:eastAsia="Times New Roman" w:hAnsiTheme="minorHAnsi" w:cstheme="minorHAnsi"/>
          <w:szCs w:val="24"/>
        </w:rPr>
        <w:t xml:space="preserve"> </w:t>
      </w:r>
      <w:r>
        <w:rPr>
          <w:rFonts w:asciiTheme="minorHAnsi" w:eastAsia="Times New Roman" w:hAnsiTheme="minorHAnsi" w:cstheme="minorHAnsi"/>
          <w:szCs w:val="24"/>
        </w:rPr>
        <w:t>should not also be adopted at the local government level.  These criteria are:</w:t>
      </w:r>
    </w:p>
    <w:p w:rsidR="001D2792" w:rsidRDefault="001D2792" w:rsidP="001D2792">
      <w:pPr>
        <w:pStyle w:val="ListParagraph"/>
        <w:contextualSpacing w:val="0"/>
        <w:textAlignment w:val="baseline"/>
        <w:rPr>
          <w:rFonts w:asciiTheme="minorHAnsi" w:hAnsiTheme="minorHAnsi" w:cstheme="minorHAnsi"/>
        </w:rPr>
      </w:pPr>
      <w:r w:rsidRPr="00304F9E">
        <w:rPr>
          <w:rFonts w:asciiTheme="minorHAnsi" w:hAnsiTheme="minorHAnsi" w:cstheme="minorHAnsi"/>
        </w:rPr>
        <w:t>Criterion 1</w:t>
      </w:r>
      <w:r>
        <w:rPr>
          <w:rFonts w:asciiTheme="minorHAnsi" w:hAnsiTheme="minorHAnsi" w:cstheme="minorHAnsi"/>
        </w:rPr>
        <w:t xml:space="preserve">: </w:t>
      </w:r>
      <w:r w:rsidRPr="00304F9E">
        <w:rPr>
          <w:rFonts w:asciiTheme="minorHAnsi" w:hAnsiTheme="minorHAnsi" w:cstheme="minorHAnsi"/>
          <w:i/>
        </w:rPr>
        <w:t>When to consult</w:t>
      </w:r>
      <w:r>
        <w:rPr>
          <w:rFonts w:asciiTheme="minorHAnsi" w:hAnsiTheme="minorHAnsi" w:cstheme="minorHAnsi"/>
        </w:rPr>
        <w:t>:</w:t>
      </w:r>
      <w:r w:rsidRPr="00304F9E">
        <w:rPr>
          <w:rFonts w:asciiTheme="minorHAnsi" w:hAnsiTheme="minorHAnsi" w:cstheme="minorHAnsi"/>
        </w:rPr>
        <w:t xml:space="preserve"> Formal consultation should take place at a stage when there is scope to influence the policy outcome. </w:t>
      </w:r>
    </w:p>
    <w:p w:rsidR="001D2792" w:rsidRDefault="001D2792" w:rsidP="001D2792">
      <w:pPr>
        <w:pStyle w:val="ListParagraph"/>
        <w:contextualSpacing w:val="0"/>
        <w:textAlignment w:val="baseline"/>
        <w:rPr>
          <w:rFonts w:asciiTheme="minorHAnsi" w:hAnsiTheme="minorHAnsi" w:cstheme="minorHAnsi"/>
        </w:rPr>
      </w:pPr>
      <w:r w:rsidRPr="00304F9E">
        <w:rPr>
          <w:rFonts w:asciiTheme="minorHAnsi" w:hAnsiTheme="minorHAnsi" w:cstheme="minorHAnsi"/>
        </w:rPr>
        <w:t xml:space="preserve">Criterion </w:t>
      </w:r>
      <w:r>
        <w:rPr>
          <w:rFonts w:asciiTheme="minorHAnsi" w:hAnsiTheme="minorHAnsi" w:cstheme="minorHAnsi"/>
        </w:rPr>
        <w:t xml:space="preserve">2: </w:t>
      </w:r>
      <w:r w:rsidRPr="00304F9E">
        <w:rPr>
          <w:rFonts w:asciiTheme="minorHAnsi" w:hAnsiTheme="minorHAnsi" w:cstheme="minorHAnsi"/>
          <w:i/>
        </w:rPr>
        <w:t>Duration of consultation exercises</w:t>
      </w:r>
      <w:r>
        <w:rPr>
          <w:rFonts w:asciiTheme="minorHAnsi" w:hAnsiTheme="minorHAnsi" w:cstheme="minorHAnsi"/>
        </w:rPr>
        <w:t>:</w:t>
      </w:r>
      <w:r w:rsidRPr="00304F9E">
        <w:rPr>
          <w:rFonts w:asciiTheme="minorHAnsi" w:hAnsiTheme="minorHAnsi" w:cstheme="minorHAnsi"/>
        </w:rPr>
        <w:t xml:space="preserve"> Consultations should normally last for at least 12 weeks with consideration given to longer timescales where feasible and sensible. </w:t>
      </w:r>
    </w:p>
    <w:p w:rsidR="001D2792" w:rsidRDefault="001D2792" w:rsidP="001D2792">
      <w:pPr>
        <w:pStyle w:val="ListParagraph"/>
        <w:contextualSpacing w:val="0"/>
        <w:textAlignment w:val="baseline"/>
        <w:rPr>
          <w:rFonts w:asciiTheme="minorHAnsi" w:hAnsiTheme="minorHAnsi" w:cstheme="minorHAnsi"/>
        </w:rPr>
      </w:pPr>
      <w:r w:rsidRPr="00304F9E">
        <w:rPr>
          <w:rFonts w:asciiTheme="minorHAnsi" w:hAnsiTheme="minorHAnsi" w:cstheme="minorHAnsi"/>
        </w:rPr>
        <w:t xml:space="preserve">Criterion </w:t>
      </w:r>
      <w:r>
        <w:rPr>
          <w:rFonts w:asciiTheme="minorHAnsi" w:hAnsiTheme="minorHAnsi" w:cstheme="minorHAnsi"/>
        </w:rPr>
        <w:t xml:space="preserve">3: </w:t>
      </w:r>
      <w:r w:rsidRPr="00304F9E">
        <w:rPr>
          <w:rFonts w:asciiTheme="minorHAnsi" w:hAnsiTheme="minorHAnsi" w:cstheme="minorHAnsi"/>
          <w:i/>
        </w:rPr>
        <w:t>Clarity of scope and impact:</w:t>
      </w:r>
      <w:r w:rsidRPr="00304F9E">
        <w:rPr>
          <w:rFonts w:asciiTheme="minorHAnsi" w:hAnsiTheme="minorHAnsi" w:cstheme="minorHAnsi"/>
        </w:rPr>
        <w:t xml:space="preserve"> Consultation documents should be clear about the consultation process, what is being proposed, the scope to influence and the expected costs and benefits of the proposals. </w:t>
      </w:r>
    </w:p>
    <w:p w:rsidR="001D2792" w:rsidRDefault="001D2792" w:rsidP="001D2792">
      <w:pPr>
        <w:pStyle w:val="ListParagraph"/>
        <w:contextualSpacing w:val="0"/>
        <w:textAlignment w:val="baseline"/>
        <w:rPr>
          <w:rFonts w:asciiTheme="minorHAnsi" w:hAnsiTheme="minorHAnsi" w:cstheme="minorHAnsi"/>
        </w:rPr>
      </w:pPr>
      <w:r>
        <w:rPr>
          <w:rFonts w:asciiTheme="minorHAnsi" w:hAnsiTheme="minorHAnsi" w:cstheme="minorHAnsi"/>
        </w:rPr>
        <w:t>Criterion 4:</w:t>
      </w:r>
      <w:r w:rsidRPr="00304F9E">
        <w:rPr>
          <w:rFonts w:asciiTheme="minorHAnsi" w:hAnsiTheme="minorHAnsi" w:cstheme="minorHAnsi"/>
        </w:rPr>
        <w:t xml:space="preserve"> </w:t>
      </w:r>
      <w:r w:rsidRPr="00304F9E">
        <w:rPr>
          <w:rFonts w:asciiTheme="minorHAnsi" w:hAnsiTheme="minorHAnsi" w:cstheme="minorHAnsi"/>
          <w:i/>
        </w:rPr>
        <w:t>Accessibility of consultation exercises</w:t>
      </w:r>
      <w:r>
        <w:rPr>
          <w:rFonts w:asciiTheme="minorHAnsi" w:hAnsiTheme="minorHAnsi" w:cstheme="minorHAnsi"/>
        </w:rPr>
        <w:t>:</w:t>
      </w:r>
      <w:r w:rsidRPr="00304F9E">
        <w:rPr>
          <w:rFonts w:asciiTheme="minorHAnsi" w:hAnsiTheme="minorHAnsi" w:cstheme="minorHAnsi"/>
        </w:rPr>
        <w:t xml:space="preserve"> Consultation exercises should be designed to be accessible to, and clearly targeted at, those people the exercise is intended to reach. </w:t>
      </w:r>
    </w:p>
    <w:p w:rsidR="001D2792" w:rsidRDefault="001D2792" w:rsidP="001D2792">
      <w:pPr>
        <w:pStyle w:val="ListParagraph"/>
        <w:contextualSpacing w:val="0"/>
        <w:textAlignment w:val="baseline"/>
        <w:rPr>
          <w:rFonts w:asciiTheme="minorHAnsi" w:hAnsiTheme="minorHAnsi" w:cstheme="minorHAnsi"/>
        </w:rPr>
      </w:pPr>
      <w:r>
        <w:rPr>
          <w:rFonts w:asciiTheme="minorHAnsi" w:hAnsiTheme="minorHAnsi" w:cstheme="minorHAnsi"/>
        </w:rPr>
        <w:t>Criterion 5:</w:t>
      </w:r>
      <w:r w:rsidRPr="00304F9E">
        <w:rPr>
          <w:rFonts w:asciiTheme="minorHAnsi" w:hAnsiTheme="minorHAnsi" w:cstheme="minorHAnsi"/>
        </w:rPr>
        <w:t xml:space="preserve"> </w:t>
      </w:r>
      <w:r w:rsidRPr="00304F9E">
        <w:rPr>
          <w:rFonts w:asciiTheme="minorHAnsi" w:hAnsiTheme="minorHAnsi" w:cstheme="minorHAnsi"/>
          <w:i/>
        </w:rPr>
        <w:t>The burden of consultation</w:t>
      </w:r>
      <w:r>
        <w:rPr>
          <w:rFonts w:asciiTheme="minorHAnsi" w:hAnsiTheme="minorHAnsi" w:cstheme="minorHAnsi"/>
          <w:i/>
        </w:rPr>
        <w:t>:</w:t>
      </w:r>
      <w:r w:rsidRPr="00304F9E">
        <w:rPr>
          <w:rFonts w:asciiTheme="minorHAnsi" w:hAnsiTheme="minorHAnsi" w:cstheme="minorHAnsi"/>
        </w:rPr>
        <w:t xml:space="preserve"> Keeping the burden of consultation to a minimum is essential if consultations are to be effective and if consultees’ buy-in to the process is to be obtained. </w:t>
      </w:r>
    </w:p>
    <w:p w:rsidR="001D2792" w:rsidRDefault="001D2792" w:rsidP="001D2792">
      <w:pPr>
        <w:pStyle w:val="ListParagraph"/>
        <w:contextualSpacing w:val="0"/>
        <w:textAlignment w:val="baseline"/>
        <w:rPr>
          <w:rFonts w:asciiTheme="minorHAnsi" w:hAnsiTheme="minorHAnsi" w:cstheme="minorHAnsi"/>
        </w:rPr>
      </w:pPr>
      <w:r>
        <w:rPr>
          <w:rFonts w:asciiTheme="minorHAnsi" w:hAnsiTheme="minorHAnsi" w:cstheme="minorHAnsi"/>
        </w:rPr>
        <w:t>Criterion 6:</w:t>
      </w:r>
      <w:r w:rsidRPr="00304F9E">
        <w:rPr>
          <w:rFonts w:asciiTheme="minorHAnsi" w:hAnsiTheme="minorHAnsi" w:cstheme="minorHAnsi"/>
        </w:rPr>
        <w:t xml:space="preserve"> </w:t>
      </w:r>
      <w:r w:rsidRPr="00304F9E">
        <w:rPr>
          <w:rFonts w:asciiTheme="minorHAnsi" w:hAnsiTheme="minorHAnsi" w:cstheme="minorHAnsi"/>
          <w:i/>
        </w:rPr>
        <w:t>Responsiveness of consultation exercises</w:t>
      </w:r>
      <w:r>
        <w:rPr>
          <w:rFonts w:asciiTheme="minorHAnsi" w:hAnsiTheme="minorHAnsi" w:cstheme="minorHAnsi"/>
        </w:rPr>
        <w:t>:</w:t>
      </w:r>
      <w:r w:rsidRPr="00304F9E">
        <w:rPr>
          <w:rFonts w:asciiTheme="minorHAnsi" w:hAnsiTheme="minorHAnsi" w:cstheme="minorHAnsi"/>
        </w:rPr>
        <w:t xml:space="preserve"> Consultation responses should be analysed carefully and clear feedback should be provided to participants following the consultation. </w:t>
      </w:r>
    </w:p>
    <w:p w:rsidR="001D2792" w:rsidRDefault="001D2792" w:rsidP="001D2792">
      <w:pPr>
        <w:pStyle w:val="ListParagraph"/>
        <w:contextualSpacing w:val="0"/>
        <w:textAlignment w:val="baseline"/>
        <w:rPr>
          <w:rFonts w:asciiTheme="minorHAnsi" w:hAnsiTheme="minorHAnsi" w:cstheme="minorHAnsi"/>
        </w:rPr>
      </w:pPr>
      <w:r>
        <w:rPr>
          <w:rFonts w:asciiTheme="minorHAnsi" w:hAnsiTheme="minorHAnsi" w:cstheme="minorHAnsi"/>
        </w:rPr>
        <w:t>Criterion 7:</w:t>
      </w:r>
      <w:r w:rsidRPr="00304F9E">
        <w:rPr>
          <w:rFonts w:asciiTheme="minorHAnsi" w:hAnsiTheme="minorHAnsi" w:cstheme="minorHAnsi"/>
        </w:rPr>
        <w:t xml:space="preserve"> </w:t>
      </w:r>
      <w:r w:rsidRPr="00304F9E">
        <w:rPr>
          <w:rFonts w:asciiTheme="minorHAnsi" w:hAnsiTheme="minorHAnsi" w:cstheme="minorHAnsi"/>
          <w:i/>
        </w:rPr>
        <w:t>Capacity to consult</w:t>
      </w:r>
      <w:r>
        <w:rPr>
          <w:rFonts w:asciiTheme="minorHAnsi" w:hAnsiTheme="minorHAnsi" w:cstheme="minorHAnsi"/>
          <w:i/>
        </w:rPr>
        <w:t>:</w:t>
      </w:r>
      <w:r w:rsidRPr="00304F9E">
        <w:rPr>
          <w:rFonts w:asciiTheme="minorHAnsi" w:hAnsiTheme="minorHAnsi" w:cstheme="minorHAnsi"/>
        </w:rPr>
        <w:t xml:space="preserve"> Officials running consultations should seek guidance in how to run an effective consultation exercise and share what they have learned from the experience. </w:t>
      </w:r>
    </w:p>
    <w:p w:rsidR="001D2792" w:rsidRPr="00304F9E" w:rsidRDefault="001D2792" w:rsidP="001D2792">
      <w:pPr>
        <w:pStyle w:val="ListParagraph"/>
        <w:spacing w:after="240"/>
        <w:contextualSpacing w:val="0"/>
        <w:textAlignment w:val="baseline"/>
        <w:rPr>
          <w:rFonts w:asciiTheme="minorHAnsi" w:hAnsiTheme="minorHAnsi" w:cstheme="minorHAnsi"/>
          <w:lang w:eastAsia="en-GB"/>
        </w:rPr>
      </w:pPr>
      <w:r w:rsidRPr="00304F9E">
        <w:rPr>
          <w:rFonts w:asciiTheme="minorHAnsi" w:hAnsiTheme="minorHAnsi" w:cstheme="minorHAnsi"/>
        </w:rPr>
        <w:t>T</w:t>
      </w:r>
      <w:r>
        <w:rPr>
          <w:rFonts w:asciiTheme="minorHAnsi" w:hAnsiTheme="minorHAnsi" w:cstheme="minorHAnsi"/>
        </w:rPr>
        <w:t>he Code of Practice states that t</w:t>
      </w:r>
      <w:r w:rsidRPr="00304F9E">
        <w:rPr>
          <w:rFonts w:asciiTheme="minorHAnsi" w:hAnsiTheme="minorHAnsi" w:cstheme="minorHAnsi"/>
        </w:rPr>
        <w:t>hese criteria should be reproduced in consultation documents</w:t>
      </w:r>
      <w:r>
        <w:rPr>
          <w:rFonts w:asciiTheme="minorHAnsi" w:hAnsiTheme="minorHAnsi" w:cstheme="minorHAnsi"/>
        </w:rPr>
        <w:t>.</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We suggest that the above Criteria should therefore also be incorporated into the final SCI, again with a statement that Shropshire Council will abide by them.</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Some frequently recurring themes in relation to consultation principles are:</w:t>
      </w:r>
    </w:p>
    <w:p w:rsidR="001D2792" w:rsidRPr="001D2792" w:rsidRDefault="001D2792" w:rsidP="001D2792">
      <w:pPr>
        <w:rPr>
          <w:rFonts w:asciiTheme="minorHAnsi" w:hAnsiTheme="minorHAnsi" w:cstheme="minorHAnsi"/>
          <w:b/>
          <w:i/>
          <w:lang w:eastAsia="en-GB"/>
        </w:rPr>
      </w:pPr>
      <w:r w:rsidRPr="001D2792">
        <w:rPr>
          <w:rFonts w:asciiTheme="minorHAnsi" w:hAnsiTheme="minorHAnsi" w:cstheme="minorHAnsi"/>
          <w:b/>
          <w:i/>
          <w:lang w:eastAsia="en-GB"/>
        </w:rPr>
        <w:t>Notification</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There are still significant numbers of people who do not engage easily with electronic communication, and/or who are not internet-savvy, and/or who are not aware that a consultation is happening, even though they might well be affected by the outcome.  Shropshire Council should not rely wholly on electronic forms of communication but must also continue to engage with its public by traditional means.  This is particularly so when decent broadband and mobile coverage is still patchy in all too many parts of the county.</w:t>
      </w:r>
    </w:p>
    <w:p w:rsidR="001D2792" w:rsidRPr="006C5036" w:rsidRDefault="001D2792" w:rsidP="001D2792">
      <w:pPr>
        <w:rPr>
          <w:rFonts w:asciiTheme="minorHAnsi" w:hAnsiTheme="minorHAnsi" w:cstheme="minorHAnsi"/>
          <w:i/>
          <w:lang w:eastAsia="en-GB"/>
        </w:rPr>
      </w:pPr>
      <w:r w:rsidRPr="006C5036">
        <w:rPr>
          <w:rFonts w:asciiTheme="minorHAnsi" w:hAnsiTheme="minorHAnsi" w:cstheme="minorHAnsi"/>
          <w:b/>
          <w:i/>
          <w:lang w:eastAsia="en-GB"/>
        </w:rPr>
        <w:t>Adequate time</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periods allowed for consultation have varied considerably, without any reason being stated for how these variable lengths of consultation have been determined.  For instance, the time given for the consultation on this DSCI is 12 weeks, for a 27 page document.  In </w:t>
      </w:r>
      <w:r>
        <w:rPr>
          <w:rFonts w:asciiTheme="minorHAnsi" w:hAnsiTheme="minorHAnsi" w:cstheme="minorHAnsi"/>
          <w:lang w:eastAsia="en-GB"/>
        </w:rPr>
        <w:lastRenderedPageBreak/>
        <w:t xml:space="preserve">stark contrast, the original time given for the Regulation 19 consultation on the Draft Local Plan was only 7 weeks, over the Christmas holidays, during a national Covid-19 lockdown, for a 359 page document backed up by over 16,000 pages of evidence documents, about 2,600 of which were new for this latest stage of the consultation process.  This Regulation 19 consultation was therefore disproportionately short.  </w:t>
      </w:r>
      <w:r w:rsidRPr="000F3866">
        <w:rPr>
          <w:rFonts w:asciiTheme="minorHAnsi" w:hAnsiTheme="minorHAnsi" w:cstheme="minorHAnsi"/>
          <w:lang w:eastAsia="en-GB"/>
        </w:rPr>
        <w:t xml:space="preserve">In response to the </w:t>
      </w:r>
      <w:r>
        <w:rPr>
          <w:rFonts w:asciiTheme="minorHAnsi" w:hAnsiTheme="minorHAnsi" w:cstheme="minorHAnsi"/>
          <w:lang w:eastAsia="en-GB"/>
        </w:rPr>
        <w:t>Covid-19</w:t>
      </w:r>
      <w:r w:rsidRPr="000F3866">
        <w:rPr>
          <w:rFonts w:asciiTheme="minorHAnsi" w:hAnsiTheme="minorHAnsi" w:cstheme="minorHAnsi"/>
          <w:lang w:eastAsia="en-GB"/>
        </w:rPr>
        <w:t xml:space="preserve"> lockdown restricti</w:t>
      </w:r>
      <w:r w:rsidRPr="000C4953">
        <w:rPr>
          <w:rFonts w:asciiTheme="minorHAnsi" w:hAnsiTheme="minorHAnsi" w:cstheme="minorHAnsi"/>
          <w:lang w:eastAsia="en-GB"/>
        </w:rPr>
        <w:t xml:space="preserve">ons, which came into force on 5 </w:t>
      </w:r>
      <w:r w:rsidRPr="000F3866">
        <w:rPr>
          <w:rFonts w:asciiTheme="minorHAnsi" w:hAnsiTheme="minorHAnsi" w:cstheme="minorHAnsi"/>
          <w:lang w:eastAsia="en-GB"/>
        </w:rPr>
        <w:t xml:space="preserve">January 2021, the representation period has </w:t>
      </w:r>
      <w:r>
        <w:rPr>
          <w:rFonts w:asciiTheme="minorHAnsi" w:hAnsiTheme="minorHAnsi" w:cstheme="minorHAnsi"/>
          <w:lang w:eastAsia="en-GB"/>
        </w:rPr>
        <w:t xml:space="preserve">now </w:t>
      </w:r>
      <w:r w:rsidRPr="000F3866">
        <w:rPr>
          <w:rFonts w:asciiTheme="minorHAnsi" w:hAnsiTheme="minorHAnsi" w:cstheme="minorHAnsi"/>
          <w:lang w:eastAsia="en-GB"/>
        </w:rPr>
        <w:t>been extended</w:t>
      </w:r>
      <w:r>
        <w:rPr>
          <w:rFonts w:asciiTheme="minorHAnsi" w:hAnsiTheme="minorHAnsi" w:cstheme="minorHAnsi"/>
          <w:lang w:eastAsia="en-GB"/>
        </w:rPr>
        <w:t xml:space="preserve"> by three weeks.  That extension was, however, announced only on 26 January 2021, three weeks after the lockdown came into effect and only 10 days before the original close of the consultation period.  Some respondents may have rushed a response in before becoming aware that they had another three weeks in which to formulate it more fully.</w:t>
      </w:r>
    </w:p>
    <w:p w:rsidR="001D2792" w:rsidRPr="005F6CCB"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Council should set out some principles determining how long a consultation should be, in proportion to what is required </w:t>
      </w:r>
      <w:r w:rsidRPr="00AE177C">
        <w:rPr>
          <w:rFonts w:asciiTheme="minorHAnsi" w:hAnsiTheme="minorHAnsi" w:cstheme="minorHAnsi"/>
          <w:i/>
          <w:lang w:eastAsia="en-GB"/>
        </w:rPr>
        <w:t xml:space="preserve">“for </w:t>
      </w:r>
      <w:r>
        <w:rPr>
          <w:rFonts w:asciiTheme="minorHAnsi" w:hAnsiTheme="minorHAnsi" w:cstheme="minorHAnsi"/>
          <w:i/>
          <w:lang w:eastAsia="en-GB"/>
        </w:rPr>
        <w:t xml:space="preserve">intelligent </w:t>
      </w:r>
      <w:r w:rsidRPr="00AE177C">
        <w:rPr>
          <w:rFonts w:asciiTheme="minorHAnsi" w:hAnsiTheme="minorHAnsi" w:cstheme="minorHAnsi"/>
          <w:i/>
          <w:lang w:eastAsia="en-GB"/>
        </w:rPr>
        <w:t>consideration and response”</w:t>
      </w:r>
      <w:r>
        <w:rPr>
          <w:rFonts w:asciiTheme="minorHAnsi" w:hAnsiTheme="minorHAnsi" w:cstheme="minorHAnsi"/>
          <w:i/>
          <w:lang w:eastAsia="en-GB"/>
        </w:rPr>
        <w:t xml:space="preserve"> </w:t>
      </w:r>
      <w:r w:rsidRPr="007F49C9">
        <w:rPr>
          <w:rFonts w:asciiTheme="minorHAnsi" w:hAnsiTheme="minorHAnsi" w:cstheme="minorHAnsi"/>
          <w:lang w:eastAsia="en-GB"/>
        </w:rPr>
        <w:t xml:space="preserve">of </w:t>
      </w:r>
      <w:r w:rsidRPr="007F49C9">
        <w:rPr>
          <w:rFonts w:asciiTheme="minorHAnsi" w:hAnsiTheme="minorHAnsi" w:cstheme="minorHAnsi"/>
          <w:i/>
          <w:lang w:eastAsia="en-GB"/>
        </w:rPr>
        <w:t xml:space="preserve">“the </w:t>
      </w:r>
      <w:r>
        <w:rPr>
          <w:rFonts w:asciiTheme="minorHAnsi" w:hAnsiTheme="minorHAnsi" w:cstheme="minorHAnsi"/>
          <w:i/>
          <w:lang w:eastAsia="en-GB"/>
        </w:rPr>
        <w:t>reasons</w:t>
      </w:r>
      <w:r w:rsidRPr="007F49C9">
        <w:rPr>
          <w:rFonts w:asciiTheme="minorHAnsi" w:hAnsiTheme="minorHAnsi" w:cstheme="minorHAnsi"/>
          <w:i/>
          <w:lang w:eastAsia="en-GB"/>
        </w:rPr>
        <w:t xml:space="preserve"> put forward for the proposal”</w:t>
      </w:r>
      <w:r>
        <w:rPr>
          <w:rFonts w:asciiTheme="minorHAnsi" w:hAnsiTheme="minorHAnsi" w:cstheme="minorHAnsi"/>
          <w:i/>
          <w:lang w:eastAsia="en-GB"/>
        </w:rPr>
        <w:t xml:space="preserve">.  </w:t>
      </w:r>
      <w:r>
        <w:rPr>
          <w:rFonts w:asciiTheme="minorHAnsi" w:hAnsiTheme="minorHAnsi" w:cstheme="minorHAnsi"/>
          <w:lang w:eastAsia="en-GB"/>
        </w:rPr>
        <w:t>However, i</w:t>
      </w:r>
      <w:r w:rsidRPr="007F49C9">
        <w:rPr>
          <w:rFonts w:asciiTheme="minorHAnsi" w:hAnsiTheme="minorHAnsi" w:cstheme="minorHAnsi"/>
          <w:lang w:eastAsia="en-GB"/>
        </w:rPr>
        <w:t xml:space="preserve">n the majority of cases involving policy, </w:t>
      </w:r>
      <w:r>
        <w:rPr>
          <w:rFonts w:asciiTheme="minorHAnsi" w:hAnsiTheme="minorHAnsi" w:cstheme="minorHAnsi"/>
          <w:lang w:eastAsia="en-GB"/>
        </w:rPr>
        <w:t xml:space="preserve">we suggest that the Council should adopt Criterion 2 above so that </w:t>
      </w:r>
      <w:r>
        <w:rPr>
          <w:rFonts w:asciiTheme="minorHAnsi" w:hAnsiTheme="minorHAnsi" w:cstheme="minorHAnsi"/>
        </w:rPr>
        <w:t>c</w:t>
      </w:r>
      <w:r w:rsidRPr="00304F9E">
        <w:rPr>
          <w:rFonts w:asciiTheme="minorHAnsi" w:hAnsiTheme="minorHAnsi" w:cstheme="minorHAnsi"/>
        </w:rPr>
        <w:t>onsultations should normally last for at least 12 weeks with consideration given to longer timescales where feasible and sensible</w:t>
      </w:r>
      <w:r>
        <w:rPr>
          <w:rFonts w:asciiTheme="minorHAnsi" w:hAnsiTheme="minorHAnsi" w:cstheme="minorHAnsi"/>
        </w:rPr>
        <w:t>.  As noted, that is, in fact,</w:t>
      </w:r>
      <w:r>
        <w:rPr>
          <w:rFonts w:asciiTheme="minorHAnsi" w:hAnsiTheme="minorHAnsi" w:cstheme="minorHAnsi"/>
          <w:lang w:eastAsia="en-GB"/>
        </w:rPr>
        <w:t xml:space="preserve"> the sensibly adopted duration of this present consultation on the DSCI, which is in stark contrast to the disproportionately short period originally allowed for the Regulation 19 consultation. </w:t>
      </w:r>
    </w:p>
    <w:p w:rsidR="001D2792" w:rsidRPr="009F46C6" w:rsidRDefault="001D2792" w:rsidP="001D2792">
      <w:pPr>
        <w:rPr>
          <w:rFonts w:asciiTheme="minorHAnsi" w:hAnsiTheme="minorHAnsi" w:cstheme="minorHAnsi"/>
          <w:b/>
          <w:i/>
          <w:lang w:eastAsia="en-GB"/>
        </w:rPr>
      </w:pPr>
      <w:r w:rsidRPr="009F46C6">
        <w:rPr>
          <w:rFonts w:asciiTheme="minorHAnsi" w:hAnsiTheme="minorHAnsi" w:cstheme="minorHAnsi"/>
          <w:b/>
          <w:i/>
          <w:lang w:eastAsia="en-GB"/>
        </w:rPr>
        <w:t>Sufficient reasons</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The ‘sufficient reasons’ referred to in the Gunning Principles will include an Evidence Base where one is put forward to support a consultation, as it has been at each of the six consultation stages of the LPR.</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Where Key Evidence documents are listed within the consultation document then they must be made available, with a similar title, in the Evidence Base.  This has not been the case at the last two stages of consultation on the Draft Plan, which partially invalidates the consultation process.  Considerable time can be lost by consultees in a paper chase, looking for missing documents and frequently checking the Evidence Base to see if they have yet appeared.</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It would be better if the Council did not launch a consultation without first ensuring (1) that all stated Evidence (i.e. the “sufficient reasons”) are actually available and (2) that the Evidence Base is easily accessible, logically ordered, and does not involve a ‘paper chase’.</w:t>
      </w:r>
    </w:p>
    <w:p w:rsidR="001D2792" w:rsidRPr="006C5036" w:rsidRDefault="001D2792" w:rsidP="001D2792">
      <w:pPr>
        <w:rPr>
          <w:rFonts w:asciiTheme="minorHAnsi" w:hAnsiTheme="minorHAnsi" w:cstheme="minorHAnsi"/>
          <w:b/>
          <w:i/>
          <w:lang w:eastAsia="en-GB"/>
        </w:rPr>
      </w:pPr>
      <w:r w:rsidRPr="006C5036">
        <w:rPr>
          <w:rFonts w:asciiTheme="minorHAnsi" w:hAnsiTheme="minorHAnsi" w:cstheme="minorHAnsi"/>
          <w:b/>
          <w:i/>
          <w:lang w:eastAsia="en-GB"/>
        </w:rPr>
        <w:t>Conscientiously taking responses into account</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sidRPr="008D5AE0">
        <w:rPr>
          <w:rFonts w:asciiTheme="minorHAnsi" w:hAnsiTheme="minorHAnsi" w:cstheme="minorHAnsi"/>
          <w:lang w:eastAsia="en-GB"/>
        </w:rPr>
        <w:t xml:space="preserve">During the Local Plan Review process </w:t>
      </w:r>
      <w:r>
        <w:rPr>
          <w:rFonts w:asciiTheme="minorHAnsi" w:hAnsiTheme="minorHAnsi" w:cstheme="minorHAnsi"/>
          <w:lang w:eastAsia="en-GB"/>
        </w:rPr>
        <w:t xml:space="preserve">we ‘debated’ with officers whether they had actually taken due note of what was said in responses.  </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For instance, at the Issues and Options stage of the LPR, in early 2017, the consultation document appeared to offer a choice of three levels of housing growth (question 4 in the survey questionnaire).  Analysis of responses indicated that 88% of members of the public, 74% of Town and Parish Councils and 51% of all respondents preferred the lowest option (‘Moderate Growth’).  Only 36% of all respondents preferred the highest option (‘High </w:t>
      </w:r>
      <w:r>
        <w:rPr>
          <w:rFonts w:asciiTheme="minorHAnsi" w:hAnsiTheme="minorHAnsi" w:cstheme="minorHAnsi"/>
          <w:lang w:eastAsia="en-GB"/>
        </w:rPr>
        <w:lastRenderedPageBreak/>
        <w:t>Growth’), of which 88% of landowners, developers and agents preferred that highest option.</w:t>
      </w:r>
    </w:p>
    <w:p w:rsidR="001D2792" w:rsidRDefault="001D2792" w:rsidP="001D2792">
      <w:pPr>
        <w:pStyle w:val="ListParagraph"/>
        <w:numPr>
          <w:ilvl w:val="1"/>
          <w:numId w:val="0"/>
        </w:numPr>
        <w:spacing w:after="240"/>
        <w:contextualSpacing w:val="0"/>
        <w:textAlignment w:val="baseline"/>
        <w:rPr>
          <w:rFonts w:ascii="Calibri" w:hAnsi="Calibri" w:cs="Calibri"/>
        </w:rPr>
      </w:pPr>
      <w:r>
        <w:rPr>
          <w:rFonts w:asciiTheme="minorHAnsi" w:hAnsiTheme="minorHAnsi" w:cstheme="minorHAnsi"/>
          <w:lang w:eastAsia="en-GB"/>
        </w:rPr>
        <w:t xml:space="preserve">Nevertheless, the Council’s preference at the next stage of consultation was for the highest (‘High Growth’) option.  In its consultation response summary officers stated, </w:t>
      </w:r>
      <w:r>
        <w:rPr>
          <w:rFonts w:ascii="Calibri" w:hAnsi="Calibri" w:cs="Calibri"/>
        </w:rPr>
        <w:t>in apparent justification for this stance,</w:t>
      </w:r>
      <w:r>
        <w:rPr>
          <w:rFonts w:asciiTheme="minorHAnsi" w:hAnsiTheme="minorHAnsi" w:cstheme="minorHAnsi"/>
          <w:lang w:eastAsia="en-GB"/>
        </w:rPr>
        <w:t xml:space="preserve"> that “</w:t>
      </w:r>
      <w:r>
        <w:rPr>
          <w:rFonts w:ascii="Calibri" w:hAnsi="Calibri" w:cs="Calibri"/>
          <w:i/>
          <w:iCs/>
        </w:rPr>
        <w:t>whilst there was a slight preference for the ‘moderate’ growth option, there was also a good level of support for ‘high’ levels of housing growth”</w:t>
      </w:r>
      <w:r>
        <w:rPr>
          <w:rFonts w:ascii="Calibri" w:hAnsi="Calibri" w:cs="Calibri"/>
        </w:rPr>
        <w:t>.</w:t>
      </w:r>
    </w:p>
    <w:p w:rsidR="001D2792" w:rsidRDefault="001D2792" w:rsidP="001D2792">
      <w:pPr>
        <w:pStyle w:val="ListParagraph"/>
        <w:numPr>
          <w:ilvl w:val="1"/>
          <w:numId w:val="0"/>
        </w:numPr>
        <w:spacing w:after="240"/>
        <w:contextualSpacing w:val="0"/>
        <w:textAlignment w:val="baseline"/>
        <w:rPr>
          <w:rFonts w:ascii="Calibri" w:hAnsi="Calibri" w:cs="Calibri"/>
        </w:rPr>
      </w:pPr>
      <w:r>
        <w:rPr>
          <w:rFonts w:ascii="Calibri" w:hAnsi="Calibri" w:cs="Calibri"/>
        </w:rPr>
        <w:t xml:space="preserve">In subsequent exchanges between us, officers’ justification </w:t>
      </w:r>
      <w:r>
        <w:rPr>
          <w:rFonts w:asciiTheme="minorHAnsi" w:hAnsiTheme="minorHAnsi" w:cstheme="minorHAnsi"/>
          <w:lang w:eastAsia="en-GB"/>
        </w:rPr>
        <w:t xml:space="preserve">for the ‘High Growth’ preference </w:t>
      </w:r>
      <w:r>
        <w:rPr>
          <w:rFonts w:ascii="Calibri" w:hAnsi="Calibri" w:cs="Calibri"/>
        </w:rPr>
        <w:t>was that (1) a consultation is not a referendum, (2) responses to consultations do not stand alone, but that headline preferences expressed by a proportion of respondents are weighed both against (3) specific comments made, and (4) against existing and emerging evidence.  They also effectively said that</w:t>
      </w:r>
      <w:r>
        <w:rPr>
          <w:rFonts w:asciiTheme="minorHAnsi" w:hAnsiTheme="minorHAnsi" w:cstheme="minorHAnsi"/>
          <w:lang w:eastAsia="en-GB"/>
        </w:rPr>
        <w:t xml:space="preserve"> they knew what was best for most people, that what they were really looking for was good arguments, and that if we disagreed we could argue the case in front of an Inspector.</w:t>
      </w:r>
    </w:p>
    <w:p w:rsidR="001D2792" w:rsidRDefault="001D2792" w:rsidP="001D2792">
      <w:pPr>
        <w:pStyle w:val="ListParagraph"/>
        <w:numPr>
          <w:ilvl w:val="1"/>
          <w:numId w:val="0"/>
        </w:numPr>
        <w:spacing w:after="240"/>
        <w:contextualSpacing w:val="0"/>
        <w:textAlignment w:val="baseline"/>
        <w:rPr>
          <w:rFonts w:ascii="Calibri" w:hAnsi="Calibri" w:cs="Calibri"/>
        </w:rPr>
      </w:pPr>
      <w:r>
        <w:rPr>
          <w:rFonts w:ascii="Calibri" w:hAnsi="Calibri" w:cs="Calibri"/>
        </w:rPr>
        <w:t xml:space="preserve">We, on the other hand, continue to maintain that if consultees are offered a direct choice between multiple options in a consultation, as they were in Question 4 of the Issues and Strategic Options consultation, </w:t>
      </w:r>
      <w:r w:rsidRPr="00C84384">
        <w:rPr>
          <w:rFonts w:ascii="Calibri" w:hAnsi="Calibri" w:cs="Calibri"/>
        </w:rPr>
        <w:t>then the Council should not simply over-rule the results of the resulting poll.</w:t>
      </w:r>
      <w:r>
        <w:rPr>
          <w:rFonts w:ascii="Calibri" w:hAnsi="Calibri" w:cs="Calibri"/>
        </w:rPr>
        <w:t xml:space="preserve">  </w:t>
      </w:r>
    </w:p>
    <w:p w:rsidR="001D2792" w:rsidRPr="00C84384" w:rsidRDefault="001D2792" w:rsidP="001D2792">
      <w:pPr>
        <w:pStyle w:val="ListParagraph"/>
        <w:numPr>
          <w:ilvl w:val="1"/>
          <w:numId w:val="0"/>
        </w:numPr>
        <w:spacing w:after="240"/>
        <w:contextualSpacing w:val="0"/>
        <w:textAlignment w:val="baseline"/>
        <w:rPr>
          <w:rFonts w:ascii="Calibri" w:hAnsi="Calibri" w:cs="Calibri"/>
        </w:rPr>
      </w:pPr>
      <w:r>
        <w:rPr>
          <w:rFonts w:ascii="Calibri" w:hAnsi="Calibri" w:cs="Calibri"/>
        </w:rPr>
        <w:t>Where such multiple options are offered in a consultation it should be made clear within that consultation whether or not Shropshire Council will take notice of the numbers preferring each option.  To do otherwise is potentially misleading.  It would be even better if this policy is spelt out within the final SCI.</w:t>
      </w:r>
    </w:p>
    <w:p w:rsidR="001D2792" w:rsidRPr="00F369A9" w:rsidRDefault="001D2792" w:rsidP="001D2792">
      <w:pPr>
        <w:pStyle w:val="ListParagraph"/>
        <w:spacing w:before="360"/>
        <w:contextualSpacing w:val="0"/>
        <w:rPr>
          <w:rFonts w:asciiTheme="minorHAnsi" w:hAnsiTheme="minorHAnsi" w:cstheme="minorHAnsi"/>
          <w:b/>
          <w:color w:val="0070C0"/>
          <w:sz w:val="36"/>
          <w:szCs w:val="36"/>
          <w:lang w:eastAsia="en-GB"/>
        </w:rPr>
      </w:pPr>
      <w:r>
        <w:rPr>
          <w:rFonts w:asciiTheme="minorHAnsi" w:hAnsiTheme="minorHAnsi" w:cstheme="minorHAnsi"/>
          <w:b/>
          <w:color w:val="0070C0"/>
          <w:sz w:val="36"/>
          <w:szCs w:val="36"/>
          <w:lang w:eastAsia="en-GB"/>
        </w:rPr>
        <w:t>The COVID-19 crisis</w:t>
      </w:r>
    </w:p>
    <w:p w:rsidR="001D2792" w:rsidRPr="00367BB5"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current COVID-19 crisis adds further challenges for consultation.  In view of the fact that the current DSCI is out for consultation during this crisis, some mention </w:t>
      </w:r>
      <w:r>
        <w:rPr>
          <w:rFonts w:asciiTheme="minorHAnsi" w:hAnsiTheme="minorHAnsi" w:cstheme="minorHAnsi"/>
          <w:u w:val="single"/>
          <w:lang w:eastAsia="en-GB"/>
        </w:rPr>
        <w:t>should</w:t>
      </w:r>
      <w:r>
        <w:rPr>
          <w:rFonts w:asciiTheme="minorHAnsi" w:hAnsiTheme="minorHAnsi" w:cstheme="minorHAnsi"/>
          <w:lang w:eastAsia="en-GB"/>
        </w:rPr>
        <w:t xml:space="preserve"> be made within the final SCI of the amendments to the legislation connected with consultation that have been enacted to take account of the crisis.  </w:t>
      </w:r>
    </w:p>
    <w:p w:rsidR="001D2792" w:rsidRPr="008F4A98"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sidRPr="00907B0A">
        <w:rPr>
          <w:rFonts w:asciiTheme="minorHAnsi" w:hAnsiTheme="minorHAnsi" w:cstheme="minorHAnsi"/>
          <w:szCs w:val="24"/>
          <w:lang w:eastAsia="en-GB"/>
        </w:rPr>
        <w:t xml:space="preserve">One </w:t>
      </w:r>
      <w:r w:rsidRPr="00907B0A">
        <w:rPr>
          <w:rFonts w:asciiTheme="minorHAnsi" w:hAnsiTheme="minorHAnsi" w:cstheme="minorHAnsi"/>
          <w:szCs w:val="24"/>
        </w:rPr>
        <w:t xml:space="preserve">of the </w:t>
      </w:r>
      <w:r>
        <w:rPr>
          <w:rFonts w:asciiTheme="minorHAnsi" w:hAnsiTheme="minorHAnsi" w:cstheme="minorHAnsi"/>
          <w:szCs w:val="24"/>
        </w:rPr>
        <w:t xml:space="preserve">above-mentioned </w:t>
      </w:r>
      <w:r w:rsidRPr="00907B0A">
        <w:rPr>
          <w:rFonts w:asciiTheme="minorHAnsi" w:hAnsiTheme="minorHAnsi" w:cstheme="minorHAnsi"/>
          <w:szCs w:val="24"/>
        </w:rPr>
        <w:t xml:space="preserve">Gunning principles of public consultation is that adequate time must be given for consideration and response.  </w:t>
      </w:r>
      <w:r>
        <w:rPr>
          <w:rFonts w:asciiTheme="minorHAnsi" w:hAnsiTheme="minorHAnsi" w:cstheme="minorHAnsi"/>
          <w:szCs w:val="24"/>
        </w:rPr>
        <w:t xml:space="preserve">The fact that both this DSCI consultation and the Regulation 19 consultation on the Draft Plan are taking place during a full national lockdown that will not end until after both consultations are over casts doubt on whether such </w:t>
      </w:r>
      <w:r w:rsidRPr="00907B0A">
        <w:rPr>
          <w:rFonts w:asciiTheme="minorHAnsi" w:hAnsiTheme="minorHAnsi" w:cstheme="minorHAnsi"/>
          <w:szCs w:val="24"/>
        </w:rPr>
        <w:t xml:space="preserve">adequate time </w:t>
      </w:r>
      <w:r w:rsidRPr="00367BB5">
        <w:rPr>
          <w:rFonts w:asciiTheme="minorHAnsi" w:hAnsiTheme="minorHAnsi" w:cstheme="minorHAnsi"/>
          <w:szCs w:val="24"/>
          <w:u w:val="single"/>
        </w:rPr>
        <w:t>has</w:t>
      </w:r>
      <w:r>
        <w:rPr>
          <w:rFonts w:asciiTheme="minorHAnsi" w:hAnsiTheme="minorHAnsi" w:cstheme="minorHAnsi"/>
          <w:szCs w:val="24"/>
        </w:rPr>
        <w:t xml:space="preserve"> been</w:t>
      </w:r>
      <w:r w:rsidRPr="00907B0A">
        <w:rPr>
          <w:rFonts w:asciiTheme="minorHAnsi" w:hAnsiTheme="minorHAnsi" w:cstheme="minorHAnsi"/>
          <w:szCs w:val="24"/>
        </w:rPr>
        <w:t xml:space="preserve"> given</w:t>
      </w:r>
      <w:r>
        <w:rPr>
          <w:rFonts w:asciiTheme="minorHAnsi" w:hAnsiTheme="minorHAnsi" w:cstheme="minorHAnsi"/>
          <w:szCs w:val="24"/>
        </w:rPr>
        <w:t>.  Despite the amendments to legislation, it remains the case that the lockdown places restrictions, and often increased commitments, on people as well as restricting the ability to view physical documents.  Both of these limitations restrict the ability to engage as normal with the consultation process.</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The restriction imposed by the current national Covid-19 lockdown on people and their access to information has been recognised in the poster (reproduced in the Annex) which was sent by </w:t>
      </w:r>
      <w:r w:rsidRPr="008F4A98">
        <w:rPr>
          <w:rFonts w:asciiTheme="minorHAnsi" w:hAnsiTheme="minorHAnsi" w:cstheme="minorHAnsi"/>
          <w:lang w:eastAsia="en-GB"/>
        </w:rPr>
        <w:t xml:space="preserve">Shropshire Council to </w:t>
      </w:r>
      <w:r>
        <w:rPr>
          <w:rFonts w:asciiTheme="minorHAnsi" w:hAnsiTheme="minorHAnsi" w:cstheme="minorHAnsi"/>
          <w:lang w:eastAsia="en-GB"/>
        </w:rPr>
        <w:t>Shropshire Association of Local Councils (</w:t>
      </w:r>
      <w:r w:rsidRPr="008F4A98">
        <w:rPr>
          <w:rFonts w:asciiTheme="minorHAnsi" w:hAnsiTheme="minorHAnsi" w:cstheme="minorHAnsi"/>
          <w:lang w:eastAsia="en-GB"/>
        </w:rPr>
        <w:t>SALC</w:t>
      </w:r>
      <w:r>
        <w:rPr>
          <w:rFonts w:asciiTheme="minorHAnsi" w:hAnsiTheme="minorHAnsi" w:cstheme="minorHAnsi"/>
          <w:lang w:eastAsia="en-GB"/>
        </w:rPr>
        <w:t>)</w:t>
      </w:r>
      <w:r w:rsidRPr="008F4A98">
        <w:rPr>
          <w:rFonts w:asciiTheme="minorHAnsi" w:hAnsiTheme="minorHAnsi" w:cstheme="minorHAnsi"/>
          <w:lang w:eastAsia="en-GB"/>
        </w:rPr>
        <w:t xml:space="preserve"> on 20 January 2021 to be circulated by them to Town and Parish Councils.</w:t>
      </w:r>
      <w:r>
        <w:rPr>
          <w:rFonts w:asciiTheme="minorHAnsi" w:hAnsiTheme="minorHAnsi" w:cstheme="minorHAnsi"/>
          <w:lang w:eastAsia="en-GB"/>
        </w:rPr>
        <w:t xml:space="preserve">  The poster is primarily </w:t>
      </w:r>
      <w:r>
        <w:rPr>
          <w:rFonts w:asciiTheme="minorHAnsi" w:hAnsiTheme="minorHAnsi" w:cstheme="minorHAnsi"/>
          <w:lang w:eastAsia="en-GB"/>
        </w:rPr>
        <w:lastRenderedPageBreak/>
        <w:t xml:space="preserve">addressed to people who do not have access to the internet, who even now represent a significant section of society.  However, this poster gave such people only two weeks’ notice before the original close of the consultation, and had been circulated over a fortnight after the national lockdown came into effect, so was not compliant with the timescales in the DCSI.  </w:t>
      </w:r>
    </w:p>
    <w:p w:rsidR="001D2792" w:rsidRPr="00367BB5"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Also, a similar poster should have been produced at the beginning of this consultation, alerting people without internet access to the start of the consultation.  Indeed, the production of this poster at this time highlights the fact that equivalent posters should be produced at the start of all significant consultations.</w:t>
      </w:r>
    </w:p>
    <w:p w:rsidR="001D2792" w:rsidRPr="00F369A9" w:rsidRDefault="001D2792" w:rsidP="001D2792">
      <w:pPr>
        <w:pStyle w:val="ListParagraph"/>
        <w:spacing w:before="360"/>
        <w:contextualSpacing w:val="0"/>
        <w:rPr>
          <w:rFonts w:asciiTheme="minorHAnsi" w:hAnsiTheme="minorHAnsi" w:cstheme="minorHAnsi"/>
          <w:b/>
          <w:color w:val="0070C0"/>
          <w:sz w:val="36"/>
          <w:szCs w:val="36"/>
          <w:lang w:eastAsia="en-GB"/>
        </w:rPr>
      </w:pPr>
      <w:r>
        <w:rPr>
          <w:rFonts w:asciiTheme="minorHAnsi" w:hAnsiTheme="minorHAnsi" w:cstheme="minorHAnsi"/>
          <w:b/>
          <w:color w:val="0070C0"/>
          <w:sz w:val="36"/>
          <w:szCs w:val="36"/>
          <w:lang w:eastAsia="en-GB"/>
        </w:rPr>
        <w:t>The online survey</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We have not completed the actual online survey (1) because of the extensive nature of our response, (2) in order to keep and disseminate a copy of this response and (3) in order that our responses are not judged solely by which button we click on a computer survey.  However, we reproduce below the online survey questions and our responses to them.</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lang w:eastAsia="en-GB"/>
        </w:rPr>
      </w:pPr>
      <w:r>
        <w:rPr>
          <w:rFonts w:asciiTheme="minorHAnsi" w:hAnsiTheme="minorHAnsi" w:cstheme="minorHAnsi"/>
          <w:lang w:eastAsia="en-GB"/>
        </w:rPr>
        <w:t xml:space="preserve">We believe that there is enough information in our response to give you the information you seek in the </w:t>
      </w:r>
      <w:r w:rsidRPr="00EE0244">
        <w:rPr>
          <w:rFonts w:asciiTheme="minorHAnsi" w:hAnsiTheme="minorHAnsi" w:cstheme="minorHAnsi"/>
          <w:i/>
          <w:lang w:eastAsia="en-GB"/>
        </w:rPr>
        <w:t>“About you”</w:t>
      </w:r>
      <w:r>
        <w:rPr>
          <w:rFonts w:asciiTheme="minorHAnsi" w:hAnsiTheme="minorHAnsi" w:cstheme="minorHAnsi"/>
          <w:lang w:eastAsia="en-GB"/>
        </w:rPr>
        <w:t xml:space="preserve"> section of the online survey, most of the questions in which are not in any case relevant to us as an organisation.</w:t>
      </w:r>
    </w:p>
    <w:p w:rsidR="001D2792" w:rsidRPr="00C100E0" w:rsidRDefault="001D2792" w:rsidP="00C100E0">
      <w:pPr>
        <w:spacing w:after="120"/>
        <w:rPr>
          <w:rFonts w:asciiTheme="minorHAnsi" w:hAnsiTheme="minorHAnsi" w:cstheme="minorHAnsi"/>
          <w:b/>
          <w:bCs/>
          <w:color w:val="008080"/>
          <w:sz w:val="28"/>
          <w:szCs w:val="28"/>
          <w:bdr w:val="none" w:sz="0" w:space="0" w:color="auto" w:frame="1"/>
          <w:lang w:eastAsia="en-GB"/>
        </w:rPr>
      </w:pPr>
      <w:r w:rsidRPr="00C100E0">
        <w:rPr>
          <w:rFonts w:asciiTheme="minorHAnsi" w:hAnsiTheme="minorHAnsi" w:cstheme="minorHAnsi"/>
          <w:b/>
          <w:bCs/>
          <w:color w:val="008080"/>
          <w:sz w:val="28"/>
          <w:szCs w:val="28"/>
          <w:bdr w:val="none" w:sz="0" w:space="0" w:color="auto" w:frame="1"/>
          <w:lang w:eastAsia="en-GB"/>
        </w:rPr>
        <w:t>Section 1: Introduction and background</w:t>
      </w:r>
    </w:p>
    <w:p w:rsidR="001D2792" w:rsidRPr="00543E94" w:rsidRDefault="001D2792" w:rsidP="001D2792">
      <w:pPr>
        <w:shd w:val="clear" w:color="auto" w:fill="FFFFFF"/>
        <w:spacing w:after="120"/>
        <w:rPr>
          <w:rFonts w:asciiTheme="minorHAnsi" w:hAnsiTheme="minorHAnsi" w:cstheme="minorHAnsi"/>
          <w:color w:val="008080"/>
          <w:bdr w:val="none" w:sz="0" w:space="0" w:color="auto" w:frame="1"/>
          <w:lang w:eastAsia="en-GB"/>
        </w:rPr>
      </w:pPr>
      <w:r w:rsidRPr="00543E94">
        <w:rPr>
          <w:rFonts w:asciiTheme="minorHAnsi" w:hAnsiTheme="minorHAnsi" w:cstheme="minorHAnsi"/>
          <w:color w:val="008080"/>
          <w:bdr w:val="none" w:sz="0" w:space="0" w:color="auto" w:frame="1"/>
          <w:lang w:eastAsia="en-GB"/>
        </w:rPr>
        <w:t>Q1 Do you agree that Shropshire Council should maintain an up to date Statement of Community Involvement that reflects National Planning Policy?</w:t>
      </w:r>
    </w:p>
    <w:p w:rsidR="001D2792" w:rsidRPr="00D80396" w:rsidRDefault="001D2792" w:rsidP="001D2792">
      <w:pPr>
        <w:shd w:val="clear" w:color="auto" w:fill="FFFFFF"/>
        <w:spacing w:after="160"/>
        <w:rPr>
          <w:rFonts w:asciiTheme="minorHAnsi" w:hAnsiTheme="minorHAnsi" w:cstheme="minorHAnsi"/>
          <w:i/>
          <w:color w:val="000000"/>
          <w:sz w:val="21"/>
          <w:szCs w:val="21"/>
          <w:bdr w:val="none" w:sz="0" w:space="0" w:color="auto" w:frame="1"/>
          <w:lang w:eastAsia="en-GB"/>
        </w:rPr>
      </w:pPr>
      <w:r w:rsidRPr="00D80396">
        <w:rPr>
          <w:rFonts w:asciiTheme="minorHAnsi" w:hAnsiTheme="minorHAnsi" w:cstheme="minorHAnsi"/>
          <w:i/>
          <w:color w:val="000000"/>
          <w:sz w:val="21"/>
          <w:szCs w:val="21"/>
          <w:bdr w:val="none" w:sz="0" w:space="0" w:color="auto" w:frame="1"/>
          <w:lang w:eastAsia="en-GB"/>
        </w:rPr>
        <w:t>Options: Yes; No; If no, please state why.</w:t>
      </w:r>
    </w:p>
    <w:p w:rsidR="001D2792" w:rsidRPr="00E30552"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sidRPr="00E30552">
        <w:rPr>
          <w:rFonts w:asciiTheme="minorHAnsi" w:hAnsiTheme="minorHAnsi" w:cstheme="minorHAnsi"/>
          <w:color w:val="000000"/>
          <w:szCs w:val="24"/>
          <w:bdr w:val="none" w:sz="0" w:space="0" w:color="auto" w:frame="1"/>
          <w:lang w:eastAsia="en-GB"/>
        </w:rPr>
        <w:t>Yes, we do</w:t>
      </w:r>
      <w:r>
        <w:rPr>
          <w:rFonts w:asciiTheme="minorHAnsi" w:hAnsiTheme="minorHAnsi" w:cstheme="minorHAnsi"/>
          <w:color w:val="000000"/>
          <w:szCs w:val="24"/>
          <w:bdr w:val="none" w:sz="0" w:space="0" w:color="auto" w:frame="1"/>
          <w:lang w:eastAsia="en-GB"/>
        </w:rPr>
        <w:t xml:space="preserve"> agree</w:t>
      </w:r>
      <w:r w:rsidRPr="00E30552">
        <w:rPr>
          <w:rFonts w:asciiTheme="minorHAnsi" w:hAnsiTheme="minorHAnsi" w:cstheme="minorHAnsi"/>
          <w:color w:val="000000"/>
          <w:szCs w:val="24"/>
          <w:bdr w:val="none" w:sz="0" w:space="0" w:color="auto" w:frame="1"/>
          <w:lang w:eastAsia="en-GB"/>
        </w:rPr>
        <w:t xml:space="preserve">, but Shropshire Council has failed to do this.  </w:t>
      </w:r>
      <w:r>
        <w:rPr>
          <w:rFonts w:asciiTheme="minorHAnsi" w:hAnsiTheme="minorHAnsi" w:cstheme="minorHAnsi"/>
          <w:color w:val="000000"/>
          <w:szCs w:val="24"/>
          <w:bdr w:val="none" w:sz="0" w:space="0" w:color="auto" w:frame="1"/>
          <w:lang w:eastAsia="en-GB"/>
        </w:rPr>
        <w:t xml:space="preserve">Page 4 of the DSCI states that </w:t>
      </w:r>
      <w:r w:rsidRPr="008F52DC">
        <w:rPr>
          <w:rFonts w:asciiTheme="minorHAnsi" w:hAnsiTheme="minorHAnsi" w:cstheme="minorHAnsi"/>
          <w:i/>
          <w:color w:val="000000"/>
          <w:szCs w:val="24"/>
          <w:bdr w:val="none" w:sz="0" w:space="0" w:color="auto" w:frame="1"/>
          <w:lang w:eastAsia="en-GB"/>
        </w:rPr>
        <w:t>“This Statement of Community Involvement (SCI), has been reviewed to link in with the review of the Local Plan”</w:t>
      </w:r>
      <w:r>
        <w:t xml:space="preserve">. </w:t>
      </w:r>
      <w:r w:rsidRPr="00E30552">
        <w:rPr>
          <w:rFonts w:asciiTheme="minorHAnsi" w:hAnsiTheme="minorHAnsi" w:cstheme="minorHAnsi"/>
          <w:color w:val="000000"/>
          <w:szCs w:val="24"/>
          <w:bdr w:val="none" w:sz="0" w:space="0" w:color="auto" w:frame="1"/>
          <w:lang w:eastAsia="en-GB"/>
        </w:rPr>
        <w:t>The SCI should have been updated long ago</w:t>
      </w:r>
      <w:r>
        <w:rPr>
          <w:rFonts w:asciiTheme="minorHAnsi" w:hAnsiTheme="minorHAnsi" w:cstheme="minorHAnsi"/>
          <w:color w:val="000000"/>
          <w:szCs w:val="24"/>
          <w:bdr w:val="none" w:sz="0" w:space="0" w:color="auto" w:frame="1"/>
          <w:lang w:eastAsia="en-GB"/>
        </w:rPr>
        <w:t xml:space="preserve"> and it is perplexing that the Council is publishing such an update right at the end of the series of consultations on the Local Plan Review, and for a period that is largely coterminous with the Regulation 19 consultation on that Draft Local Plan.  The Council had a statutory duty to update the SCI well before then, which it failed to discharge.</w:t>
      </w:r>
    </w:p>
    <w:p w:rsidR="001D2792" w:rsidRPr="00543E94" w:rsidRDefault="001D2792" w:rsidP="00C100E0">
      <w:pPr>
        <w:spacing w:after="120"/>
        <w:rPr>
          <w:rFonts w:asciiTheme="minorHAnsi" w:hAnsiTheme="minorHAnsi" w:cstheme="minorHAnsi"/>
          <w:b/>
          <w:bCs/>
          <w:color w:val="008080"/>
          <w:sz w:val="28"/>
          <w:szCs w:val="28"/>
          <w:bdr w:val="none" w:sz="0" w:space="0" w:color="auto" w:frame="1"/>
          <w:lang w:eastAsia="en-GB"/>
        </w:rPr>
      </w:pPr>
      <w:r w:rsidRPr="00543E94">
        <w:rPr>
          <w:rFonts w:asciiTheme="minorHAnsi" w:hAnsiTheme="minorHAnsi" w:cstheme="minorHAnsi"/>
          <w:b/>
          <w:bCs/>
          <w:color w:val="008080"/>
          <w:sz w:val="28"/>
          <w:szCs w:val="28"/>
          <w:bdr w:val="none" w:sz="0" w:space="0" w:color="auto" w:frame="1"/>
          <w:lang w:eastAsia="en-GB"/>
        </w:rPr>
        <w:t>Section 2: Statement of Community Involvement and Local Planning</w:t>
      </w:r>
    </w:p>
    <w:p w:rsidR="001D2792" w:rsidRPr="00543E94" w:rsidRDefault="001D2792" w:rsidP="001D2792">
      <w:pPr>
        <w:shd w:val="clear" w:color="auto" w:fill="FFFFFF"/>
        <w:spacing w:after="120"/>
        <w:rPr>
          <w:rFonts w:asciiTheme="minorHAnsi" w:hAnsiTheme="minorHAnsi" w:cstheme="minorHAnsi"/>
          <w:color w:val="008080"/>
          <w:bdr w:val="none" w:sz="0" w:space="0" w:color="auto" w:frame="1"/>
          <w:lang w:eastAsia="en-GB"/>
        </w:rPr>
      </w:pPr>
      <w:r w:rsidRPr="00543E94">
        <w:rPr>
          <w:rFonts w:asciiTheme="minorHAnsi" w:hAnsiTheme="minorHAnsi" w:cstheme="minorHAnsi"/>
          <w:color w:val="008080"/>
          <w:bdr w:val="none" w:sz="0" w:space="0" w:color="auto" w:frame="1"/>
          <w:lang w:eastAsia="en-GB"/>
        </w:rPr>
        <w:t>Q2 Do you agree that the SCI has considered all of the relevant legislation and regulations?</w:t>
      </w:r>
    </w:p>
    <w:p w:rsidR="001D2792" w:rsidRPr="00D80396" w:rsidRDefault="001D2792" w:rsidP="001D2792">
      <w:pPr>
        <w:shd w:val="clear" w:color="auto" w:fill="FFFFFF"/>
        <w:spacing w:after="160"/>
        <w:rPr>
          <w:rFonts w:asciiTheme="minorHAnsi" w:hAnsiTheme="minorHAnsi" w:cstheme="minorHAnsi"/>
          <w:i/>
          <w:color w:val="000000"/>
          <w:sz w:val="21"/>
          <w:szCs w:val="21"/>
          <w:bdr w:val="none" w:sz="0" w:space="0" w:color="auto" w:frame="1"/>
          <w:lang w:eastAsia="en-GB"/>
        </w:rPr>
      </w:pPr>
      <w:r w:rsidRPr="00D80396">
        <w:rPr>
          <w:rFonts w:asciiTheme="minorHAnsi" w:hAnsiTheme="minorHAnsi" w:cstheme="minorHAnsi"/>
          <w:i/>
          <w:color w:val="000000"/>
          <w:sz w:val="21"/>
          <w:szCs w:val="21"/>
          <w:bdr w:val="none" w:sz="0" w:space="0" w:color="auto" w:frame="1"/>
          <w:lang w:eastAsia="en-GB"/>
        </w:rPr>
        <w:t>Options: Yes; No; If no, please state which other legislation and regulations should be considered in our SCI</w:t>
      </w:r>
    </w:p>
    <w:p w:rsidR="001D2792" w:rsidRPr="00675149"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sidRPr="00E30552">
        <w:rPr>
          <w:rFonts w:asciiTheme="minorHAnsi" w:hAnsiTheme="minorHAnsi" w:cstheme="minorHAnsi"/>
          <w:color w:val="000000"/>
          <w:szCs w:val="24"/>
          <w:bdr w:val="none" w:sz="0" w:space="0" w:color="auto" w:frame="1"/>
          <w:lang w:eastAsia="en-GB"/>
        </w:rPr>
        <w:t>Y</w:t>
      </w:r>
      <w:r>
        <w:rPr>
          <w:rFonts w:asciiTheme="minorHAnsi" w:hAnsiTheme="minorHAnsi" w:cstheme="minorHAnsi"/>
          <w:color w:val="000000"/>
          <w:szCs w:val="24"/>
          <w:bdr w:val="none" w:sz="0" w:space="0" w:color="auto" w:frame="1"/>
          <w:lang w:eastAsia="en-GB"/>
        </w:rPr>
        <w:t>es, we do</w:t>
      </w:r>
      <w:r w:rsidRPr="00E30552">
        <w:rPr>
          <w:rFonts w:asciiTheme="minorHAnsi" w:hAnsiTheme="minorHAnsi" w:cstheme="minorHAnsi"/>
          <w:color w:val="000000"/>
          <w:szCs w:val="24"/>
          <w:bdr w:val="none" w:sz="0" w:space="0" w:color="auto" w:frame="1"/>
          <w:lang w:eastAsia="en-GB"/>
        </w:rPr>
        <w:t xml:space="preserve"> </w:t>
      </w:r>
      <w:r>
        <w:rPr>
          <w:rFonts w:asciiTheme="minorHAnsi" w:hAnsiTheme="minorHAnsi" w:cstheme="minorHAnsi"/>
          <w:color w:val="000000"/>
          <w:szCs w:val="24"/>
          <w:bdr w:val="none" w:sz="0" w:space="0" w:color="auto" w:frame="1"/>
          <w:lang w:eastAsia="en-GB"/>
        </w:rPr>
        <w:t xml:space="preserve">agree </w:t>
      </w:r>
      <w:r w:rsidRPr="00E30552">
        <w:rPr>
          <w:rFonts w:asciiTheme="minorHAnsi" w:hAnsiTheme="minorHAnsi" w:cstheme="minorHAnsi"/>
          <w:color w:val="000000"/>
          <w:szCs w:val="24"/>
          <w:bdr w:val="none" w:sz="0" w:space="0" w:color="auto" w:frame="1"/>
          <w:lang w:eastAsia="en-GB"/>
        </w:rPr>
        <w:t>but</w:t>
      </w:r>
      <w:r>
        <w:rPr>
          <w:rFonts w:asciiTheme="minorHAnsi" w:hAnsiTheme="minorHAnsi" w:cstheme="minorHAnsi"/>
          <w:color w:val="000000"/>
          <w:szCs w:val="24"/>
          <w:bdr w:val="none" w:sz="0" w:space="0" w:color="auto" w:frame="1"/>
          <w:lang w:eastAsia="en-GB"/>
        </w:rPr>
        <w:t xml:space="preserve">, again, </w:t>
      </w:r>
      <w:r w:rsidRPr="00E30552">
        <w:rPr>
          <w:rFonts w:asciiTheme="minorHAnsi" w:hAnsiTheme="minorHAnsi" w:cstheme="minorHAnsi"/>
          <w:color w:val="000000"/>
          <w:szCs w:val="24"/>
          <w:bdr w:val="none" w:sz="0" w:space="0" w:color="auto" w:frame="1"/>
          <w:lang w:eastAsia="en-GB"/>
        </w:rPr>
        <w:t xml:space="preserve">Shropshire Council has failed to </w:t>
      </w:r>
      <w:r>
        <w:rPr>
          <w:rFonts w:asciiTheme="minorHAnsi" w:hAnsiTheme="minorHAnsi" w:cstheme="minorHAnsi"/>
          <w:color w:val="000000"/>
          <w:szCs w:val="24"/>
          <w:bdr w:val="none" w:sz="0" w:space="0" w:color="auto" w:frame="1"/>
          <w:lang w:eastAsia="en-GB"/>
        </w:rPr>
        <w:t xml:space="preserve">implement fully what is set out in Section 2.  At paragraph 2.6 it has failed to provide the required annual updates of the Authority Monitoring Report (AMR), the last version of which on the website is currently that for the year 2016/17.  The absence of up-to-date AMRs will, in some consultations, limit the ability to refer to up to date information.  At paragraph 2.7, the Local Development </w:t>
      </w:r>
      <w:r>
        <w:rPr>
          <w:rFonts w:asciiTheme="minorHAnsi" w:hAnsiTheme="minorHAnsi" w:cstheme="minorHAnsi"/>
          <w:color w:val="000000"/>
          <w:szCs w:val="24"/>
          <w:bdr w:val="none" w:sz="0" w:space="0" w:color="auto" w:frame="1"/>
          <w:lang w:eastAsia="en-GB"/>
        </w:rPr>
        <w:lastRenderedPageBreak/>
        <w:t>Scheme has also been out of date for long periods during the series of consultations on the Draft Plan.</w:t>
      </w:r>
    </w:p>
    <w:p w:rsidR="001D2792" w:rsidRPr="00543E94" w:rsidRDefault="001D2792" w:rsidP="00C100E0">
      <w:pPr>
        <w:spacing w:after="120"/>
        <w:rPr>
          <w:rFonts w:asciiTheme="minorHAnsi" w:hAnsiTheme="minorHAnsi" w:cstheme="minorHAnsi"/>
          <w:b/>
          <w:bCs/>
          <w:color w:val="008080"/>
          <w:sz w:val="28"/>
          <w:szCs w:val="28"/>
          <w:bdr w:val="none" w:sz="0" w:space="0" w:color="auto" w:frame="1"/>
          <w:lang w:eastAsia="en-GB"/>
        </w:rPr>
      </w:pPr>
      <w:r w:rsidRPr="00543E94">
        <w:rPr>
          <w:rFonts w:asciiTheme="minorHAnsi" w:hAnsiTheme="minorHAnsi" w:cstheme="minorHAnsi"/>
          <w:b/>
          <w:bCs/>
          <w:color w:val="008080"/>
          <w:sz w:val="28"/>
          <w:szCs w:val="28"/>
          <w:bdr w:val="none" w:sz="0" w:space="0" w:color="auto" w:frame="1"/>
          <w:lang w:eastAsia="en-GB"/>
        </w:rPr>
        <w:t>Section 3: Community Involvement in the Planning Policy Process – Guiding principles</w:t>
      </w:r>
    </w:p>
    <w:p w:rsidR="001D2792" w:rsidRPr="00543E94" w:rsidRDefault="001D2792" w:rsidP="001D2792">
      <w:pPr>
        <w:shd w:val="clear" w:color="auto" w:fill="FFFFFF"/>
        <w:spacing w:after="120"/>
        <w:rPr>
          <w:rFonts w:asciiTheme="minorHAnsi" w:hAnsiTheme="minorHAnsi" w:cstheme="minorHAnsi"/>
          <w:color w:val="008080"/>
          <w:bdr w:val="none" w:sz="0" w:space="0" w:color="auto" w:frame="1"/>
          <w:lang w:eastAsia="en-GB"/>
        </w:rPr>
      </w:pPr>
      <w:r w:rsidRPr="00543E94">
        <w:rPr>
          <w:rFonts w:asciiTheme="minorHAnsi" w:hAnsiTheme="minorHAnsi" w:cstheme="minorHAnsi"/>
          <w:color w:val="008080"/>
          <w:bdr w:val="none" w:sz="0" w:space="0" w:color="auto" w:frame="1"/>
          <w:lang w:eastAsia="en-GB"/>
        </w:rPr>
        <w:t>Q3 Do you agree with these guiding principles for consultation and the methods Shropshire Council will use?</w:t>
      </w:r>
    </w:p>
    <w:p w:rsidR="001D2792" w:rsidRPr="00D80396" w:rsidRDefault="001D2792" w:rsidP="001D2792">
      <w:pPr>
        <w:shd w:val="clear" w:color="auto" w:fill="FFFFFF"/>
        <w:spacing w:after="160"/>
        <w:rPr>
          <w:rFonts w:asciiTheme="minorHAnsi" w:hAnsiTheme="minorHAnsi" w:cstheme="minorHAnsi"/>
          <w:i/>
          <w:color w:val="000000"/>
          <w:sz w:val="21"/>
          <w:szCs w:val="21"/>
          <w:lang w:eastAsia="en-GB"/>
        </w:rPr>
      </w:pPr>
      <w:r w:rsidRPr="00D80396">
        <w:rPr>
          <w:rFonts w:asciiTheme="minorHAnsi" w:hAnsiTheme="minorHAnsi" w:cstheme="minorHAnsi"/>
          <w:i/>
          <w:color w:val="000000"/>
          <w:sz w:val="21"/>
          <w:szCs w:val="21"/>
          <w:bdr w:val="none" w:sz="0" w:space="0" w:color="auto" w:frame="1"/>
          <w:lang w:eastAsia="en-GB"/>
        </w:rPr>
        <w:t xml:space="preserve">Options: Yes; No; </w:t>
      </w:r>
      <w:r w:rsidRPr="00D80396">
        <w:rPr>
          <w:rFonts w:asciiTheme="minorHAnsi" w:hAnsiTheme="minorHAnsi" w:cstheme="minorHAnsi"/>
          <w:i/>
          <w:color w:val="000000"/>
          <w:sz w:val="21"/>
          <w:szCs w:val="21"/>
          <w:lang w:eastAsia="en-GB"/>
        </w:rPr>
        <w:t>If no, please provide more details</w:t>
      </w:r>
    </w:p>
    <w:p w:rsidR="001D2792" w:rsidRPr="00EE0244"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sidRPr="00E30552">
        <w:rPr>
          <w:rFonts w:asciiTheme="minorHAnsi" w:hAnsiTheme="minorHAnsi" w:cstheme="minorHAnsi"/>
          <w:color w:val="000000"/>
          <w:szCs w:val="24"/>
          <w:bdr w:val="none" w:sz="0" w:space="0" w:color="auto" w:frame="1"/>
          <w:lang w:eastAsia="en-GB"/>
        </w:rPr>
        <w:t>Y</w:t>
      </w:r>
      <w:r>
        <w:rPr>
          <w:rFonts w:asciiTheme="minorHAnsi" w:hAnsiTheme="minorHAnsi" w:cstheme="minorHAnsi"/>
          <w:color w:val="000000"/>
          <w:szCs w:val="24"/>
          <w:bdr w:val="none" w:sz="0" w:space="0" w:color="auto" w:frame="1"/>
          <w:lang w:eastAsia="en-GB"/>
        </w:rPr>
        <w:t>es, we do</w:t>
      </w:r>
      <w:r w:rsidRPr="00E30552">
        <w:rPr>
          <w:rFonts w:asciiTheme="minorHAnsi" w:hAnsiTheme="minorHAnsi" w:cstheme="minorHAnsi"/>
          <w:color w:val="000000"/>
          <w:szCs w:val="24"/>
          <w:bdr w:val="none" w:sz="0" w:space="0" w:color="auto" w:frame="1"/>
          <w:lang w:eastAsia="en-GB"/>
        </w:rPr>
        <w:t xml:space="preserve"> </w:t>
      </w:r>
      <w:r>
        <w:rPr>
          <w:rFonts w:asciiTheme="minorHAnsi" w:hAnsiTheme="minorHAnsi" w:cstheme="minorHAnsi"/>
          <w:color w:val="000000"/>
          <w:szCs w:val="24"/>
          <w:bdr w:val="none" w:sz="0" w:space="0" w:color="auto" w:frame="1"/>
          <w:lang w:eastAsia="en-GB"/>
        </w:rPr>
        <w:t xml:space="preserve">agree with the guiding principles, although, as stated above, the Gunning principles of consultation and the seven Criteria from the </w:t>
      </w:r>
      <w:r w:rsidRPr="00A35F31">
        <w:rPr>
          <w:rFonts w:asciiTheme="minorHAnsi" w:hAnsiTheme="minorHAnsi" w:cstheme="minorHAnsi"/>
          <w:lang w:eastAsia="en-GB"/>
        </w:rPr>
        <w:t xml:space="preserve">Government’s own </w:t>
      </w:r>
      <w:r w:rsidRPr="00304F9E">
        <w:rPr>
          <w:rFonts w:asciiTheme="minorHAnsi" w:hAnsiTheme="minorHAnsi" w:cstheme="minorHAnsi"/>
          <w:i/>
          <w:lang w:eastAsia="en-GB"/>
        </w:rPr>
        <w:t>Code of Practice on Consultation</w:t>
      </w:r>
      <w:r>
        <w:rPr>
          <w:rFonts w:asciiTheme="minorHAnsi" w:hAnsiTheme="minorHAnsi" w:cstheme="minorHAnsi"/>
          <w:color w:val="000000"/>
          <w:szCs w:val="24"/>
          <w:bdr w:val="none" w:sz="0" w:space="0" w:color="auto" w:frame="1"/>
          <w:lang w:eastAsia="en-GB"/>
        </w:rPr>
        <w:t xml:space="preserve"> should be explicitly set out within the final SCI and this section would be the best place for that.</w:t>
      </w:r>
    </w:p>
    <w:p w:rsidR="001D2792" w:rsidRPr="00675149"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bdr w:val="none" w:sz="0" w:space="0" w:color="auto" w:frame="1"/>
          <w:lang w:eastAsia="en-GB"/>
        </w:rPr>
        <w:t>We also support the thrust of Shropshire Council’s methods, although some detail could be amended, as follows:</w:t>
      </w:r>
    </w:p>
    <w:p w:rsidR="001D2792" w:rsidRDefault="001D2792" w:rsidP="001D2792">
      <w:pPr>
        <w:pStyle w:val="ListParagraph"/>
        <w:shd w:val="clear" w:color="auto" w:fill="FFFFFF"/>
        <w:contextualSpacing w:val="0"/>
        <w:rPr>
          <w:rFonts w:asciiTheme="minorHAnsi" w:hAnsiTheme="minorHAnsi" w:cstheme="minorHAnsi"/>
          <w:color w:val="000000"/>
          <w:lang w:eastAsia="en-GB"/>
        </w:rPr>
      </w:pPr>
      <w:r w:rsidRPr="00EE0244">
        <w:rPr>
          <w:rFonts w:asciiTheme="minorHAnsi" w:hAnsiTheme="minorHAnsi" w:cstheme="minorHAnsi"/>
          <w:color w:val="000000"/>
          <w:lang w:eastAsia="en-GB"/>
        </w:rPr>
        <w:t>Paragraph 3.3, second bullet point</w:t>
      </w:r>
      <w:r>
        <w:rPr>
          <w:rFonts w:asciiTheme="minorHAnsi" w:hAnsiTheme="minorHAnsi" w:cstheme="minorHAnsi"/>
          <w:color w:val="000000"/>
          <w:lang w:eastAsia="en-GB"/>
        </w:rPr>
        <w:t xml:space="preserve"> (in the middle of page 9)</w:t>
      </w:r>
      <w:r w:rsidRPr="00EE0244">
        <w:rPr>
          <w:rFonts w:asciiTheme="minorHAnsi" w:hAnsiTheme="minorHAnsi" w:cstheme="minorHAnsi"/>
          <w:color w:val="000000"/>
          <w:lang w:eastAsia="en-GB"/>
        </w:rPr>
        <w:t>:</w:t>
      </w:r>
      <w:r>
        <w:rPr>
          <w:rFonts w:asciiTheme="minorHAnsi" w:hAnsiTheme="minorHAnsi" w:cstheme="minorHAnsi"/>
          <w:color w:val="000000"/>
          <w:lang w:eastAsia="en-GB"/>
        </w:rPr>
        <w:t xml:space="preserve"> T</w:t>
      </w:r>
      <w:r w:rsidRPr="00EE0244">
        <w:rPr>
          <w:rFonts w:asciiTheme="minorHAnsi" w:hAnsiTheme="minorHAnsi" w:cstheme="minorHAnsi"/>
          <w:color w:val="000000"/>
          <w:lang w:eastAsia="en-GB"/>
        </w:rPr>
        <w:t>he General Public should not be restricted to just the elements of it as stated here</w:t>
      </w:r>
      <w:r>
        <w:rPr>
          <w:rFonts w:asciiTheme="minorHAnsi" w:hAnsiTheme="minorHAnsi" w:cstheme="minorHAnsi"/>
          <w:color w:val="000000"/>
          <w:lang w:eastAsia="en-GB"/>
        </w:rPr>
        <w:t>.  All members of the general public could potentially be affected by planning policy documents.</w:t>
      </w:r>
    </w:p>
    <w:p w:rsidR="001D2792" w:rsidRPr="00143B4F" w:rsidRDefault="001D2792" w:rsidP="001D2792">
      <w:pPr>
        <w:pStyle w:val="ListParagraph"/>
        <w:shd w:val="clear" w:color="auto" w:fill="FFFFFF"/>
        <w:contextualSpacing w:val="0"/>
        <w:rPr>
          <w:rFonts w:ascii="Arial" w:hAnsi="Arial" w:cs="Arial"/>
        </w:rPr>
      </w:pPr>
      <w:r w:rsidRPr="00EE0244">
        <w:rPr>
          <w:rFonts w:asciiTheme="minorHAnsi" w:hAnsiTheme="minorHAnsi" w:cstheme="minorHAnsi"/>
          <w:color w:val="000000"/>
          <w:lang w:eastAsia="en-GB"/>
        </w:rPr>
        <w:t>Paragraph 3.3, second bullet point</w:t>
      </w:r>
      <w:r>
        <w:rPr>
          <w:rFonts w:asciiTheme="minorHAnsi" w:hAnsiTheme="minorHAnsi" w:cstheme="minorHAnsi"/>
          <w:color w:val="000000"/>
          <w:lang w:eastAsia="en-GB"/>
        </w:rPr>
        <w:t xml:space="preserve"> (at the bottom</w:t>
      </w:r>
      <w:r w:rsidRPr="00143B4F">
        <w:rPr>
          <w:rFonts w:asciiTheme="minorHAnsi" w:hAnsiTheme="minorHAnsi" w:cstheme="minorHAnsi"/>
          <w:color w:val="000000"/>
          <w:lang w:eastAsia="en-GB"/>
        </w:rPr>
        <w:t xml:space="preserve"> </w:t>
      </w:r>
      <w:r>
        <w:rPr>
          <w:rFonts w:asciiTheme="minorHAnsi" w:hAnsiTheme="minorHAnsi" w:cstheme="minorHAnsi"/>
          <w:color w:val="000000"/>
          <w:lang w:eastAsia="en-GB"/>
        </w:rPr>
        <w:t xml:space="preserve">of page 9): The stated aim is to </w:t>
      </w:r>
      <w:r w:rsidRPr="00143B4F">
        <w:rPr>
          <w:rFonts w:asciiTheme="minorHAnsi" w:hAnsiTheme="minorHAnsi" w:cstheme="minorHAnsi"/>
          <w:i/>
          <w:color w:val="000000"/>
          <w:szCs w:val="24"/>
          <w:lang w:eastAsia="en-GB"/>
        </w:rPr>
        <w:t>“</w:t>
      </w:r>
      <w:r w:rsidRPr="00143B4F">
        <w:rPr>
          <w:rFonts w:asciiTheme="minorHAnsi" w:hAnsiTheme="minorHAnsi" w:cstheme="minorHAnsi"/>
          <w:i/>
          <w:color w:val="000000"/>
          <w:szCs w:val="24"/>
        </w:rPr>
        <w:t>Provide sufficient information to enable an effective response to any consultation”</w:t>
      </w:r>
      <w:r>
        <w:rPr>
          <w:rFonts w:ascii="Arial" w:hAnsi="Arial" w:cs="Arial"/>
          <w:color w:val="000000"/>
          <w:sz w:val="23"/>
          <w:szCs w:val="23"/>
        </w:rPr>
        <w:t xml:space="preserve">.  </w:t>
      </w:r>
      <w:r w:rsidRPr="00143B4F">
        <w:rPr>
          <w:rFonts w:asciiTheme="minorHAnsi" w:hAnsiTheme="minorHAnsi" w:cstheme="minorHAnsi"/>
          <w:color w:val="000000"/>
          <w:lang w:eastAsia="en-GB"/>
        </w:rPr>
        <w:t xml:space="preserve">As noted above, not all relevant and sufficient information has currently been provided for the current Regulation </w:t>
      </w:r>
      <w:r>
        <w:rPr>
          <w:rFonts w:asciiTheme="minorHAnsi" w:hAnsiTheme="minorHAnsi" w:cstheme="minorHAnsi"/>
          <w:color w:val="000000"/>
          <w:lang w:eastAsia="en-GB"/>
        </w:rPr>
        <w:t xml:space="preserve">19 </w:t>
      </w:r>
      <w:r w:rsidRPr="00143B4F">
        <w:rPr>
          <w:rFonts w:asciiTheme="minorHAnsi" w:hAnsiTheme="minorHAnsi" w:cstheme="minorHAnsi"/>
          <w:color w:val="000000"/>
          <w:lang w:eastAsia="en-GB"/>
        </w:rPr>
        <w:t>consultation on the Draft Plan.  Consultations should not begin until all stated Key Evidence is available.</w:t>
      </w:r>
    </w:p>
    <w:p w:rsidR="001D2792" w:rsidRPr="009A461F" w:rsidRDefault="001D2792" w:rsidP="001D2792">
      <w:pPr>
        <w:pStyle w:val="ListParagraph"/>
        <w:shd w:val="clear" w:color="auto" w:fill="FFFFFF"/>
        <w:contextualSpacing w:val="0"/>
        <w:rPr>
          <w:rFonts w:asciiTheme="minorHAnsi" w:hAnsiTheme="minorHAnsi" w:cstheme="minorHAnsi"/>
          <w:bCs/>
          <w:szCs w:val="24"/>
        </w:rPr>
      </w:pPr>
      <w:r w:rsidRPr="00A159BB">
        <w:rPr>
          <w:rFonts w:asciiTheme="minorHAnsi" w:hAnsiTheme="minorHAnsi" w:cstheme="minorHAnsi"/>
          <w:color w:val="000000"/>
          <w:szCs w:val="24"/>
          <w:lang w:eastAsia="en-GB"/>
        </w:rPr>
        <w:t xml:space="preserve">Paragraph 3.3, fifth bullet point (at the bottom of page 9):  The stated aim is </w:t>
      </w:r>
      <w:r w:rsidRPr="00A159BB">
        <w:rPr>
          <w:rFonts w:asciiTheme="minorHAnsi" w:hAnsiTheme="minorHAnsi" w:cstheme="minorHAnsi"/>
          <w:i/>
          <w:szCs w:val="24"/>
          <w:lang w:eastAsia="en-GB"/>
        </w:rPr>
        <w:t>“a</w:t>
      </w:r>
      <w:r w:rsidRPr="00A159BB">
        <w:rPr>
          <w:rFonts w:asciiTheme="minorHAnsi" w:hAnsiTheme="minorHAnsi" w:cstheme="minorHAnsi"/>
          <w:i/>
          <w:color w:val="000000"/>
          <w:szCs w:val="24"/>
        </w:rPr>
        <w:t>ll comments will be made publicly available and the council will re</w:t>
      </w:r>
      <w:r w:rsidRPr="00A159BB">
        <w:rPr>
          <w:rFonts w:asciiTheme="minorHAnsi" w:hAnsiTheme="minorHAnsi" w:cstheme="minorHAnsi"/>
          <w:i/>
          <w:szCs w:val="24"/>
        </w:rPr>
        <w:t>port on all consultation stages”</w:t>
      </w:r>
      <w:r w:rsidRPr="00A159BB">
        <w:rPr>
          <w:rFonts w:asciiTheme="minorHAnsi" w:hAnsiTheme="minorHAnsi" w:cstheme="minorHAnsi"/>
          <w:szCs w:val="24"/>
        </w:rPr>
        <w:t>.</w:t>
      </w:r>
      <w:r>
        <w:rPr>
          <w:rFonts w:asciiTheme="minorHAnsi" w:hAnsiTheme="minorHAnsi" w:cstheme="minorHAnsi"/>
          <w:szCs w:val="24"/>
        </w:rPr>
        <w:t xml:space="preserve">  The final SCI should spell out in more detail what form the report will take.  Such a report should make plain how the Council has taken consultation responses into account in any documents influenced by the consultation.  For instance, </w:t>
      </w:r>
      <w:r w:rsidRPr="00A35F31">
        <w:rPr>
          <w:rFonts w:asciiTheme="minorHAnsi" w:hAnsiTheme="minorHAnsi" w:cstheme="minorHAnsi"/>
          <w:szCs w:val="24"/>
        </w:rPr>
        <w:t>the</w:t>
      </w:r>
      <w:r>
        <w:rPr>
          <w:rFonts w:asciiTheme="minorHAnsi" w:hAnsiTheme="minorHAnsi" w:cstheme="minorHAnsi"/>
          <w:szCs w:val="24"/>
        </w:rPr>
        <w:t xml:space="preserve"> </w:t>
      </w:r>
      <w:r w:rsidRPr="00C52252">
        <w:rPr>
          <w:rFonts w:asciiTheme="minorHAnsi" w:hAnsiTheme="minorHAnsi" w:cstheme="minorHAnsi"/>
          <w:i/>
          <w:szCs w:val="24"/>
        </w:rPr>
        <w:t>“</w:t>
      </w:r>
      <w:r w:rsidRPr="00C52252">
        <w:rPr>
          <w:rFonts w:asciiTheme="minorHAnsi" w:hAnsiTheme="minorHAnsi" w:cstheme="minorHAnsi"/>
          <w:bCs/>
          <w:i/>
          <w:szCs w:val="24"/>
        </w:rPr>
        <w:t>Summary of Responses to the Consultation on the Regulation 18: Pre-Submission Draft of the Shropshire Local Plan (</w:t>
      </w:r>
      <w:r w:rsidRPr="00C52252">
        <w:rPr>
          <w:rFonts w:asciiTheme="minorHAnsi" w:eastAsia="ArialMT" w:hAnsiTheme="minorHAnsi" w:cstheme="minorHAnsi"/>
          <w:i/>
          <w:szCs w:val="24"/>
        </w:rPr>
        <w:t>Published: December 2020)”</w:t>
      </w:r>
      <w:r>
        <w:rPr>
          <w:rFonts w:asciiTheme="minorHAnsi" w:eastAsia="ArialMT" w:hAnsiTheme="minorHAnsi" w:cstheme="minorHAnsi"/>
          <w:szCs w:val="24"/>
        </w:rPr>
        <w:t xml:space="preserve"> lists the responses from the 2,507 numbered respondents in meticulous detail, which is in accordance with the first aim that “</w:t>
      </w:r>
      <w:r w:rsidRPr="00A159BB">
        <w:rPr>
          <w:rFonts w:asciiTheme="minorHAnsi" w:hAnsiTheme="minorHAnsi" w:cstheme="minorHAnsi"/>
          <w:i/>
          <w:szCs w:val="24"/>
          <w:lang w:eastAsia="en-GB"/>
        </w:rPr>
        <w:t>a</w:t>
      </w:r>
      <w:r w:rsidRPr="00A159BB">
        <w:rPr>
          <w:rFonts w:asciiTheme="minorHAnsi" w:hAnsiTheme="minorHAnsi" w:cstheme="minorHAnsi"/>
          <w:i/>
          <w:color w:val="000000"/>
          <w:szCs w:val="24"/>
        </w:rPr>
        <w:t>ll comments will be made publicly available</w:t>
      </w:r>
      <w:r>
        <w:rPr>
          <w:rFonts w:asciiTheme="minorHAnsi" w:hAnsiTheme="minorHAnsi" w:cstheme="minorHAnsi"/>
          <w:i/>
          <w:color w:val="000000"/>
          <w:szCs w:val="24"/>
        </w:rPr>
        <w:t xml:space="preserve">”.  </w:t>
      </w:r>
      <w:r w:rsidRPr="00A35F31">
        <w:rPr>
          <w:rFonts w:asciiTheme="minorHAnsi" w:hAnsiTheme="minorHAnsi" w:cstheme="minorHAnsi"/>
          <w:color w:val="000000"/>
          <w:szCs w:val="24"/>
        </w:rPr>
        <w:t>However, it does not contain any report to indicate how these comments have been taken into account in moving to the Regulation 19 stage.</w:t>
      </w:r>
      <w:r>
        <w:rPr>
          <w:rFonts w:asciiTheme="minorHAnsi" w:hAnsiTheme="minorHAnsi" w:cstheme="minorHAnsi"/>
          <w:color w:val="000000"/>
          <w:szCs w:val="24"/>
        </w:rPr>
        <w:t xml:space="preserve">  The Council should expand this aim to include reference to such a report providing “</w:t>
      </w:r>
      <w:r w:rsidRPr="00304F9E">
        <w:rPr>
          <w:rFonts w:asciiTheme="minorHAnsi" w:hAnsiTheme="minorHAnsi" w:cstheme="minorHAnsi"/>
        </w:rPr>
        <w:t>clear feedback</w:t>
      </w:r>
      <w:r>
        <w:rPr>
          <w:rFonts w:asciiTheme="minorHAnsi" w:hAnsiTheme="minorHAnsi" w:cstheme="minorHAnsi"/>
        </w:rPr>
        <w:t>”</w:t>
      </w:r>
      <w:r w:rsidRPr="00304F9E">
        <w:rPr>
          <w:rFonts w:asciiTheme="minorHAnsi" w:hAnsiTheme="minorHAnsi" w:cstheme="minorHAnsi"/>
        </w:rPr>
        <w:t xml:space="preserve"> </w:t>
      </w:r>
      <w:r>
        <w:rPr>
          <w:rFonts w:asciiTheme="minorHAnsi" w:hAnsiTheme="minorHAnsi" w:cstheme="minorHAnsi"/>
        </w:rPr>
        <w:t>on what aspects of consultation responses</w:t>
      </w:r>
      <w:r>
        <w:rPr>
          <w:rFonts w:asciiTheme="minorHAnsi" w:hAnsiTheme="minorHAnsi" w:cstheme="minorHAnsi"/>
          <w:color w:val="000000"/>
          <w:szCs w:val="24"/>
        </w:rPr>
        <w:t xml:space="preserve"> it has taken on board, in line with Criterion 6 above.  For instance, the 2,507 respondees made a total of 5,159 responses.  Of these, 17% (859) agreed with part of the Draft Plan, 77% (3,981) disagreed and 6% (319) did not express an opinion; Shropshire Council has nowhere said why it has not changed the Plan in the face of so much disagreement with it.</w:t>
      </w:r>
    </w:p>
    <w:p w:rsidR="001D2792" w:rsidRPr="009A461F" w:rsidRDefault="001D2792" w:rsidP="001D2792">
      <w:pPr>
        <w:pStyle w:val="ListParagraph"/>
        <w:shd w:val="clear" w:color="auto" w:fill="FFFFFF"/>
        <w:spacing w:after="240"/>
        <w:contextualSpacing w:val="0"/>
        <w:rPr>
          <w:rFonts w:asciiTheme="minorHAnsi" w:hAnsiTheme="minorHAnsi" w:cstheme="minorHAnsi"/>
        </w:rPr>
      </w:pPr>
      <w:r w:rsidRPr="00A159BB">
        <w:rPr>
          <w:rFonts w:asciiTheme="minorHAnsi" w:hAnsiTheme="minorHAnsi" w:cstheme="minorHAnsi"/>
          <w:color w:val="000000"/>
          <w:szCs w:val="24"/>
          <w:lang w:eastAsia="en-GB"/>
        </w:rPr>
        <w:t>Paragra</w:t>
      </w:r>
      <w:r>
        <w:rPr>
          <w:rFonts w:asciiTheme="minorHAnsi" w:hAnsiTheme="minorHAnsi" w:cstheme="minorHAnsi"/>
          <w:color w:val="000000"/>
          <w:szCs w:val="24"/>
          <w:lang w:eastAsia="en-GB"/>
        </w:rPr>
        <w:t>ph 3.3, six</w:t>
      </w:r>
      <w:r w:rsidRPr="00A159BB">
        <w:rPr>
          <w:rFonts w:asciiTheme="minorHAnsi" w:hAnsiTheme="minorHAnsi" w:cstheme="minorHAnsi"/>
          <w:color w:val="000000"/>
          <w:szCs w:val="24"/>
          <w:lang w:eastAsia="en-GB"/>
        </w:rPr>
        <w:t xml:space="preserve">th bullet point (at the bottom of page 9):  </w:t>
      </w:r>
      <w:r w:rsidRPr="009A461F">
        <w:rPr>
          <w:rFonts w:asciiTheme="minorHAnsi" w:hAnsiTheme="minorHAnsi" w:cstheme="minorHAnsi"/>
          <w:color w:val="000000"/>
          <w:szCs w:val="24"/>
          <w:lang w:eastAsia="en-GB"/>
        </w:rPr>
        <w:t xml:space="preserve">The stated aim is to </w:t>
      </w:r>
      <w:r w:rsidRPr="009A461F">
        <w:rPr>
          <w:rFonts w:asciiTheme="minorHAnsi" w:hAnsiTheme="minorHAnsi" w:cstheme="minorHAnsi"/>
          <w:i/>
          <w:color w:val="000000"/>
          <w:szCs w:val="24"/>
          <w:lang w:eastAsia="en-GB"/>
        </w:rPr>
        <w:t>“</w:t>
      </w:r>
      <w:r w:rsidRPr="009A461F">
        <w:rPr>
          <w:rFonts w:asciiTheme="minorHAnsi" w:hAnsiTheme="minorHAnsi" w:cstheme="minorHAnsi"/>
          <w:i/>
          <w:color w:val="000000"/>
          <w:szCs w:val="24"/>
        </w:rPr>
        <w:t>hold consultation events at appropriate locations in the borough</w:t>
      </w:r>
      <w:r w:rsidRPr="009A461F">
        <w:rPr>
          <w:rFonts w:ascii="Arial" w:hAnsi="Arial" w:cs="Arial"/>
          <w:i/>
        </w:rPr>
        <w:t>”</w:t>
      </w:r>
      <w:r>
        <w:rPr>
          <w:rFonts w:ascii="Arial" w:hAnsi="Arial" w:cs="Arial"/>
        </w:rPr>
        <w:t xml:space="preserve">.  </w:t>
      </w:r>
      <w:r w:rsidRPr="009A461F">
        <w:rPr>
          <w:rFonts w:asciiTheme="minorHAnsi" w:hAnsiTheme="minorHAnsi" w:cstheme="minorHAnsi"/>
        </w:rPr>
        <w:t xml:space="preserve">Firstly, “the borough” should presumably be replaced with “the county”; </w:t>
      </w:r>
      <w:r>
        <w:rPr>
          <w:rFonts w:asciiTheme="minorHAnsi" w:hAnsiTheme="minorHAnsi" w:cstheme="minorHAnsi"/>
        </w:rPr>
        <w:t>t</w:t>
      </w:r>
      <w:r w:rsidRPr="009A461F">
        <w:rPr>
          <w:rFonts w:asciiTheme="minorHAnsi" w:hAnsiTheme="minorHAnsi" w:cstheme="minorHAnsi"/>
        </w:rPr>
        <w:t xml:space="preserve">his version of the DSCI is presumably derived </w:t>
      </w:r>
      <w:r w:rsidRPr="009A461F">
        <w:rPr>
          <w:rFonts w:asciiTheme="minorHAnsi" w:hAnsiTheme="minorHAnsi" w:cstheme="minorHAnsi"/>
        </w:rPr>
        <w:lastRenderedPageBreak/>
        <w:t xml:space="preserve">from a version used within one of the pre-unitary Shropshire </w:t>
      </w:r>
      <w:r>
        <w:rPr>
          <w:rFonts w:asciiTheme="minorHAnsi" w:hAnsiTheme="minorHAnsi" w:cstheme="minorHAnsi"/>
        </w:rPr>
        <w:t>District C</w:t>
      </w:r>
      <w:r w:rsidRPr="009A461F">
        <w:rPr>
          <w:rFonts w:asciiTheme="minorHAnsi" w:hAnsiTheme="minorHAnsi" w:cstheme="minorHAnsi"/>
        </w:rPr>
        <w:t>ouncils</w:t>
      </w:r>
      <w:r>
        <w:rPr>
          <w:rFonts w:asciiTheme="minorHAnsi" w:hAnsiTheme="minorHAnsi" w:cstheme="minorHAnsi"/>
        </w:rPr>
        <w:t>.  Secondly, some reference should be made to the restricted Covid-19 arrangements, which preclude any such consultation events, and also restrict or ban people’s ability to view physical documents in libraries etc.</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color w:val="000000"/>
          <w:lang w:eastAsia="en-GB"/>
        </w:rPr>
      </w:pPr>
      <w:r>
        <w:rPr>
          <w:rFonts w:asciiTheme="minorHAnsi" w:hAnsiTheme="minorHAnsi" w:cstheme="minorHAnsi"/>
          <w:color w:val="000000"/>
          <w:lang w:eastAsia="en-GB"/>
        </w:rPr>
        <w:t>Page 10 of the DSCI moves from paragraph 3.3 directly to paragraph 3.8, with no intervening paragraphs 3.4 to 3.7.  The bullet point at the top of page 10 puts an onus on Town and Parish Councils to cascade news of consultation events to the wider local communities.  This is not always possible for smaller Councils, which have very limited resources, often restricted to a part-time and overworked parish clerk, and which sometimes do not meet at regular enough intervals to effectively organise such publicity.</w:t>
      </w:r>
    </w:p>
    <w:p w:rsidR="001D2792" w:rsidRPr="00A159BB" w:rsidRDefault="001D2792" w:rsidP="001D2792">
      <w:pPr>
        <w:pStyle w:val="ListParagraph"/>
        <w:numPr>
          <w:ilvl w:val="1"/>
          <w:numId w:val="0"/>
        </w:numPr>
        <w:spacing w:after="240"/>
        <w:contextualSpacing w:val="0"/>
        <w:textAlignment w:val="baseline"/>
        <w:rPr>
          <w:rFonts w:asciiTheme="minorHAnsi" w:hAnsiTheme="minorHAnsi" w:cstheme="minorHAnsi"/>
          <w:color w:val="000000"/>
          <w:lang w:eastAsia="en-GB"/>
        </w:rPr>
      </w:pPr>
      <w:r>
        <w:rPr>
          <w:rFonts w:asciiTheme="minorHAnsi" w:hAnsiTheme="minorHAnsi" w:cstheme="minorHAnsi"/>
          <w:color w:val="000000"/>
          <w:lang w:eastAsia="en-GB"/>
        </w:rPr>
        <w:t>However, the recent production by Shropshire Council of the poster reproduced in the Annex below does highlight one way, via SALC and Town and Parish Councils, of helping to inform people who do not have access to the internet about consultations and how to take part in them.  Although this particular poster was produced rather late in the process, such posters ought perhaps to be circulated at the start of all significant consultations.</w:t>
      </w:r>
    </w:p>
    <w:p w:rsidR="001D2792" w:rsidRPr="00B06060" w:rsidRDefault="001D2792" w:rsidP="00C100E0">
      <w:pPr>
        <w:spacing w:after="120"/>
        <w:rPr>
          <w:rFonts w:asciiTheme="minorHAnsi" w:hAnsiTheme="minorHAnsi" w:cstheme="minorHAnsi"/>
          <w:b/>
          <w:bCs/>
          <w:color w:val="000000"/>
          <w:sz w:val="29"/>
          <w:szCs w:val="29"/>
          <w:lang w:eastAsia="en-GB"/>
        </w:rPr>
      </w:pPr>
      <w:r w:rsidRPr="00543E94">
        <w:rPr>
          <w:rFonts w:asciiTheme="minorHAnsi" w:hAnsiTheme="minorHAnsi" w:cstheme="minorHAnsi"/>
          <w:b/>
          <w:bCs/>
          <w:color w:val="008080"/>
          <w:sz w:val="28"/>
          <w:szCs w:val="28"/>
          <w:bdr w:val="none" w:sz="0" w:space="0" w:color="auto" w:frame="1"/>
          <w:lang w:eastAsia="en-GB"/>
        </w:rPr>
        <w:t>Section 4: How Shropshire Council will consult the</w:t>
      </w:r>
      <w:r w:rsidRPr="00B06060">
        <w:rPr>
          <w:rFonts w:asciiTheme="minorHAnsi" w:hAnsiTheme="minorHAnsi" w:cstheme="minorHAnsi"/>
          <w:b/>
          <w:bCs/>
          <w:color w:val="008080"/>
          <w:sz w:val="36"/>
          <w:szCs w:val="36"/>
          <w:bdr w:val="none" w:sz="0" w:space="0" w:color="auto" w:frame="1"/>
          <w:lang w:eastAsia="en-GB"/>
        </w:rPr>
        <w:t xml:space="preserve"> </w:t>
      </w:r>
      <w:r w:rsidRPr="00543E94">
        <w:rPr>
          <w:rFonts w:asciiTheme="minorHAnsi" w:hAnsiTheme="minorHAnsi" w:cstheme="minorHAnsi"/>
          <w:b/>
          <w:bCs/>
          <w:color w:val="008080"/>
          <w:sz w:val="28"/>
          <w:szCs w:val="28"/>
          <w:bdr w:val="none" w:sz="0" w:space="0" w:color="auto" w:frame="1"/>
          <w:lang w:eastAsia="en-GB"/>
        </w:rPr>
        <w:t>Community for Plan making and decision taking on planning applications</w:t>
      </w:r>
    </w:p>
    <w:p w:rsidR="001D2792" w:rsidRPr="00543E94" w:rsidRDefault="001D2792" w:rsidP="001D2792">
      <w:pPr>
        <w:shd w:val="clear" w:color="auto" w:fill="FFFFFF"/>
        <w:spacing w:after="120"/>
        <w:rPr>
          <w:rFonts w:asciiTheme="minorHAnsi" w:hAnsiTheme="minorHAnsi" w:cstheme="minorHAnsi"/>
          <w:color w:val="008080"/>
          <w:bdr w:val="none" w:sz="0" w:space="0" w:color="auto" w:frame="1"/>
          <w:lang w:eastAsia="en-GB"/>
        </w:rPr>
      </w:pPr>
      <w:r w:rsidRPr="00543E94">
        <w:rPr>
          <w:rFonts w:asciiTheme="minorHAnsi" w:hAnsiTheme="minorHAnsi" w:cstheme="minorHAnsi"/>
          <w:color w:val="008080"/>
          <w:bdr w:val="none" w:sz="0" w:space="0" w:color="auto" w:frame="1"/>
          <w:lang w:eastAsia="en-GB"/>
        </w:rPr>
        <w:t>Q4 Do you agree with these consultation methods and timescales?</w:t>
      </w:r>
    </w:p>
    <w:p w:rsidR="001D2792" w:rsidRDefault="001D2792" w:rsidP="001D2792">
      <w:pPr>
        <w:shd w:val="clear" w:color="auto" w:fill="FFFFFF"/>
        <w:spacing w:after="160"/>
        <w:rPr>
          <w:rFonts w:asciiTheme="minorHAnsi" w:hAnsiTheme="minorHAnsi" w:cstheme="minorHAnsi"/>
          <w:i/>
          <w:color w:val="000000"/>
          <w:sz w:val="21"/>
          <w:szCs w:val="21"/>
          <w:lang w:eastAsia="en-GB"/>
        </w:rPr>
      </w:pPr>
      <w:r w:rsidRPr="00D80396">
        <w:rPr>
          <w:rFonts w:asciiTheme="minorHAnsi" w:hAnsiTheme="minorHAnsi" w:cstheme="minorHAnsi"/>
          <w:i/>
          <w:color w:val="000000"/>
          <w:sz w:val="21"/>
          <w:szCs w:val="21"/>
          <w:bdr w:val="none" w:sz="0" w:space="0" w:color="auto" w:frame="1"/>
          <w:lang w:eastAsia="en-GB"/>
        </w:rPr>
        <w:t xml:space="preserve">Options: Yes; No; </w:t>
      </w:r>
      <w:r w:rsidRPr="00D80396">
        <w:rPr>
          <w:rFonts w:asciiTheme="minorHAnsi" w:hAnsiTheme="minorHAnsi" w:cstheme="minorHAnsi"/>
          <w:i/>
          <w:color w:val="000000"/>
          <w:sz w:val="21"/>
          <w:szCs w:val="21"/>
          <w:lang w:eastAsia="en-GB"/>
        </w:rPr>
        <w:t xml:space="preserve">If no, please comment on the areas of consultation not covered by the SCI or whether different areas of the </w:t>
      </w:r>
      <w:r w:rsidRPr="009269C0">
        <w:rPr>
          <w:rFonts w:asciiTheme="minorHAnsi" w:hAnsiTheme="minorHAnsi" w:cstheme="minorHAnsi"/>
          <w:i/>
          <w:color w:val="000000"/>
          <w:sz w:val="21"/>
          <w:szCs w:val="21"/>
          <w:lang w:eastAsia="en-GB"/>
        </w:rPr>
        <w:t>Planning process need to be consulted on differently</w:t>
      </w:r>
    </w:p>
    <w:p w:rsidR="001D2792" w:rsidRPr="008F16EF"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 xml:space="preserve">No, we do not agree with the timescales shown in the tables under paragraphs 4.1, 4.2 and 4.3.  As indicated above, the Council should adopt the recommendation in the Government’s </w:t>
      </w:r>
      <w:r w:rsidRPr="00304F9E">
        <w:rPr>
          <w:rFonts w:asciiTheme="minorHAnsi" w:hAnsiTheme="minorHAnsi" w:cstheme="minorHAnsi"/>
          <w:i/>
          <w:lang w:eastAsia="en-GB"/>
        </w:rPr>
        <w:t>Code of Practice on Consultation</w:t>
      </w:r>
      <w:r>
        <w:rPr>
          <w:rFonts w:asciiTheme="minorHAnsi" w:hAnsiTheme="minorHAnsi" w:cstheme="minorHAnsi"/>
          <w:i/>
          <w:lang w:eastAsia="en-GB"/>
        </w:rPr>
        <w:t xml:space="preserve">, </w:t>
      </w:r>
      <w:r w:rsidRPr="00813D70">
        <w:rPr>
          <w:rFonts w:asciiTheme="minorHAnsi" w:hAnsiTheme="minorHAnsi" w:cstheme="minorHAnsi"/>
          <w:lang w:eastAsia="en-GB"/>
        </w:rPr>
        <w:t>C</w:t>
      </w:r>
      <w:r>
        <w:rPr>
          <w:rFonts w:asciiTheme="minorHAnsi" w:hAnsiTheme="minorHAnsi" w:cstheme="minorHAnsi"/>
          <w:lang w:eastAsia="en-GB"/>
        </w:rPr>
        <w:t>riterion</w:t>
      </w:r>
      <w:r w:rsidRPr="00813D70">
        <w:rPr>
          <w:rFonts w:asciiTheme="minorHAnsi" w:hAnsiTheme="minorHAnsi" w:cstheme="minorHAnsi"/>
          <w:lang w:eastAsia="en-GB"/>
        </w:rPr>
        <w:t xml:space="preserve"> 2 and state that </w:t>
      </w:r>
      <w:r>
        <w:rPr>
          <w:rFonts w:asciiTheme="minorHAnsi" w:hAnsiTheme="minorHAnsi" w:cstheme="minorHAnsi"/>
        </w:rPr>
        <w:t>c</w:t>
      </w:r>
      <w:r w:rsidRPr="00304F9E">
        <w:rPr>
          <w:rFonts w:asciiTheme="minorHAnsi" w:hAnsiTheme="minorHAnsi" w:cstheme="minorHAnsi"/>
        </w:rPr>
        <w:t>onsultations should normally last for at least 12 weeks with consideration given to longer timescales where feasible and sensible</w:t>
      </w:r>
      <w:r>
        <w:rPr>
          <w:rFonts w:asciiTheme="minorHAnsi" w:hAnsiTheme="minorHAnsi" w:cstheme="minorHAnsi"/>
        </w:rPr>
        <w:t>.</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szCs w:val="24"/>
        </w:rPr>
      </w:pPr>
      <w:r w:rsidRPr="008F16EF">
        <w:rPr>
          <w:rFonts w:asciiTheme="minorHAnsi" w:hAnsiTheme="minorHAnsi" w:cstheme="minorHAnsi"/>
          <w:szCs w:val="24"/>
        </w:rPr>
        <w:t>The present proposal within the DSCI</w:t>
      </w:r>
      <w:r>
        <w:rPr>
          <w:rFonts w:asciiTheme="minorHAnsi" w:hAnsiTheme="minorHAnsi" w:cstheme="minorHAnsi"/>
          <w:szCs w:val="24"/>
        </w:rPr>
        <w:t xml:space="preserve"> for </w:t>
      </w:r>
      <w:r w:rsidRPr="008F16EF">
        <w:rPr>
          <w:rFonts w:asciiTheme="minorHAnsi" w:hAnsiTheme="minorHAnsi" w:cstheme="minorHAnsi"/>
          <w:szCs w:val="24"/>
        </w:rPr>
        <w:t>consultation period</w:t>
      </w:r>
      <w:r>
        <w:rPr>
          <w:rFonts w:asciiTheme="minorHAnsi" w:hAnsiTheme="minorHAnsi" w:cstheme="minorHAnsi"/>
          <w:szCs w:val="24"/>
        </w:rPr>
        <w:t>s that are</w:t>
      </w:r>
      <w:r w:rsidRPr="008F16EF">
        <w:rPr>
          <w:rFonts w:asciiTheme="minorHAnsi" w:hAnsiTheme="minorHAnsi" w:cstheme="minorHAnsi"/>
          <w:szCs w:val="24"/>
        </w:rPr>
        <w:t xml:space="preserve"> for a </w:t>
      </w:r>
      <w:r w:rsidRPr="008F16EF">
        <w:rPr>
          <w:rFonts w:asciiTheme="minorHAnsi" w:hAnsiTheme="minorHAnsi" w:cstheme="minorHAnsi"/>
          <w:i/>
          <w:szCs w:val="24"/>
        </w:rPr>
        <w:t>“</w:t>
      </w:r>
      <w:r w:rsidRPr="008F16EF">
        <w:rPr>
          <w:rFonts w:asciiTheme="minorHAnsi" w:hAnsiTheme="minorHAnsi" w:cstheme="minorHAnsi"/>
          <w:i/>
          <w:color w:val="000000"/>
          <w:szCs w:val="24"/>
        </w:rPr>
        <w:t>Minimum of 6 weeks (excluding Bank Holidays)”</w:t>
      </w:r>
      <w:r>
        <w:rPr>
          <w:rFonts w:asciiTheme="minorHAnsi" w:hAnsiTheme="minorHAnsi" w:cstheme="minorHAnsi"/>
          <w:i/>
          <w:color w:val="000000"/>
          <w:szCs w:val="24"/>
        </w:rPr>
        <w:t xml:space="preserve"> </w:t>
      </w:r>
      <w:r w:rsidRPr="008F16EF">
        <w:rPr>
          <w:rFonts w:asciiTheme="minorHAnsi" w:hAnsiTheme="minorHAnsi" w:cstheme="minorHAnsi"/>
          <w:szCs w:val="24"/>
        </w:rPr>
        <w:t>can be particularly disadvantageous to some Parish Councils</w:t>
      </w:r>
      <w:r>
        <w:rPr>
          <w:rFonts w:asciiTheme="minorHAnsi" w:hAnsiTheme="minorHAnsi" w:cstheme="minorHAnsi"/>
          <w:szCs w:val="24"/>
        </w:rPr>
        <w:t xml:space="preserve"> which do not meet often enough to be able to give due formal consideration to a consultation within that short time frame.</w:t>
      </w:r>
    </w:p>
    <w:p w:rsidR="001D2792" w:rsidRPr="00AB1FA4" w:rsidRDefault="001D2792" w:rsidP="001D2792">
      <w:pPr>
        <w:pStyle w:val="ListParagraph"/>
        <w:numPr>
          <w:ilvl w:val="1"/>
          <w:numId w:val="0"/>
        </w:numPr>
        <w:spacing w:after="240"/>
        <w:contextualSpacing w:val="0"/>
        <w:textAlignment w:val="baseline"/>
        <w:rPr>
          <w:rFonts w:asciiTheme="minorHAnsi" w:hAnsiTheme="minorHAnsi" w:cstheme="minorHAnsi"/>
          <w:szCs w:val="24"/>
        </w:rPr>
      </w:pPr>
      <w:r>
        <w:rPr>
          <w:rFonts w:asciiTheme="minorHAnsi" w:hAnsiTheme="minorHAnsi" w:cstheme="minorHAnsi"/>
          <w:szCs w:val="24"/>
        </w:rPr>
        <w:t>Consultations should also, as far as possible, avoid holiday periods, particularly during the summer holiday period and over Christmas/New Year when Council offices are closed.  Most people will have restricted time to attend to consultations at those times and many Parish Councils do not hold meetings in August or December.  If consultations do straddle a holiday period they should be extended in length by at least a fortnight.</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 xml:space="preserve">We do not agree with the proposal at the foot of page 17 that planning applications should be notified using only site notices or press notices.  As well as that provision, neighbour notifications should continue to be sent out as they are presently.  It is unreasonable to expect everybody to patrol the streets, lanes, gates and lampposts on a weekly or daily basis looking for site notices in case there should be a nearby application that might affect them.  </w:t>
      </w:r>
      <w:r>
        <w:rPr>
          <w:rFonts w:asciiTheme="minorHAnsi" w:hAnsiTheme="minorHAnsi" w:cstheme="minorHAnsi"/>
          <w:color w:val="000000"/>
          <w:szCs w:val="24"/>
          <w:lang w:eastAsia="en-GB"/>
        </w:rPr>
        <w:lastRenderedPageBreak/>
        <w:t xml:space="preserve">If a planning application is occurring next to them, it seems reasonable to expect that they should continue to receive direct notification from the Council.  It is surprising that there was no consultation question asking specifically whether respondents thought the current neighbour notification procedure should be dropped.  The only apparent reference to this proposed change seems to be within the Cabinet report dated 7 September 2020, under the </w:t>
      </w:r>
      <w:r w:rsidRPr="00027473">
        <w:rPr>
          <w:rFonts w:asciiTheme="minorHAnsi" w:hAnsiTheme="minorHAnsi" w:cstheme="minorHAnsi"/>
          <w:color w:val="000000"/>
          <w:szCs w:val="24"/>
          <w:lang w:eastAsia="en-GB"/>
        </w:rPr>
        <w:t xml:space="preserve">heading </w:t>
      </w:r>
      <w:r w:rsidRPr="00027473">
        <w:rPr>
          <w:rFonts w:asciiTheme="minorHAnsi" w:hAnsiTheme="minorHAnsi" w:cstheme="minorHAnsi"/>
          <w:i/>
          <w:color w:val="000000"/>
          <w:szCs w:val="24"/>
          <w:lang w:eastAsia="en-GB"/>
        </w:rPr>
        <w:t>“</w:t>
      </w:r>
      <w:r w:rsidRPr="00027473">
        <w:rPr>
          <w:rFonts w:asciiTheme="minorHAnsi" w:hAnsiTheme="minorHAnsi" w:cstheme="minorHAnsi"/>
          <w:bCs/>
          <w:i/>
          <w:szCs w:val="24"/>
        </w:rPr>
        <w:t>Proposed revisions to the SCI”</w:t>
      </w:r>
      <w:r>
        <w:rPr>
          <w:rFonts w:asciiTheme="minorHAnsi" w:hAnsiTheme="minorHAnsi" w:cstheme="minorHAnsi"/>
          <w:color w:val="000000"/>
          <w:szCs w:val="24"/>
          <w:lang w:eastAsia="en-GB"/>
        </w:rPr>
        <w:t>.  It would have been helpful to respondents if this summary of proposed revisions had also been included in the Get Involved page, as well as a link to the current 43 page 2011 SCI.  As it is, respondents have been given no clear way of telling what important provisions in the 2011 SCI have been changed in the current DSCI.</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The second paragraph at the top of page 18 suggests that press notices will be issued only for major applications and significant departures from the Development Plan although, four paragraphs further on, unspecified notifications for other types of application are also mentioned.  Press notices should continue to be issued for the same range of applications as at present and those should also be specified in that second paragraph at the top of page 18.  We monitor planning applications and the press notices on a weekly basis, and we have noticed that relevant planning applications often do not appear in the press notices for some time after validation.  Anything that could be done internally to help to capture them in those press notices as soon as possible would be welcome.</w:t>
      </w:r>
    </w:p>
    <w:p w:rsidR="001D2792" w:rsidRPr="00180F9D" w:rsidRDefault="001D2792" w:rsidP="001D2792">
      <w:pPr>
        <w:pStyle w:val="ListParagraph"/>
        <w:numPr>
          <w:ilvl w:val="1"/>
          <w:numId w:val="0"/>
        </w:numPr>
        <w:spacing w:after="240"/>
        <w:contextualSpacing w:val="0"/>
        <w:textAlignment w:val="baseline"/>
        <w:rPr>
          <w:rFonts w:asciiTheme="minorHAnsi" w:hAnsiTheme="minorHAnsi" w:cstheme="minorHAnsi"/>
        </w:rPr>
      </w:pPr>
      <w:r w:rsidRPr="00180F9D">
        <w:rPr>
          <w:rFonts w:asciiTheme="minorHAnsi" w:hAnsiTheme="minorHAnsi" w:cstheme="minorHAnsi"/>
          <w:color w:val="000000"/>
          <w:szCs w:val="24"/>
          <w:lang w:eastAsia="en-GB"/>
        </w:rPr>
        <w:t xml:space="preserve">Paragraph 4.9 should be expanded to make it clear that, although Parish and Town Councils can indeed trigger a committee referral request, that request is only likely to be implemented under certain limited circumstances, as set out in the Council’s Scheme of Delegation for determining planning applications.  </w:t>
      </w:r>
    </w:p>
    <w:p w:rsidR="001D2792" w:rsidRPr="008E33D8" w:rsidRDefault="001D2792" w:rsidP="001D2792">
      <w:pPr>
        <w:pStyle w:val="ListParagraph"/>
        <w:numPr>
          <w:ilvl w:val="1"/>
          <w:numId w:val="0"/>
        </w:numPr>
        <w:spacing w:after="240"/>
        <w:contextualSpacing w:val="0"/>
        <w:textAlignment w:val="baseline"/>
        <w:rPr>
          <w:rFonts w:asciiTheme="minorHAnsi" w:hAnsiTheme="minorHAnsi" w:cstheme="minorHAnsi"/>
        </w:rPr>
      </w:pPr>
      <w:r w:rsidRPr="00180F9D">
        <w:rPr>
          <w:rFonts w:asciiTheme="minorHAnsi" w:hAnsiTheme="minorHAnsi" w:cstheme="minorHAnsi"/>
          <w:color w:val="000000"/>
          <w:szCs w:val="24"/>
          <w:lang w:eastAsia="en-GB"/>
        </w:rPr>
        <w:t xml:space="preserve">Our understanding on this score is that </w:t>
      </w:r>
      <w:r>
        <w:rPr>
          <w:rFonts w:asciiTheme="minorHAnsi" w:hAnsiTheme="minorHAnsi" w:cstheme="minorHAnsi"/>
        </w:rPr>
        <w:t>such a</w:t>
      </w:r>
      <w:r w:rsidRPr="00180F9D">
        <w:rPr>
          <w:rFonts w:asciiTheme="minorHAnsi" w:hAnsiTheme="minorHAnsi" w:cstheme="minorHAnsi"/>
        </w:rPr>
        <w:t xml:space="preserve">pplications </w:t>
      </w:r>
      <w:r>
        <w:rPr>
          <w:rFonts w:asciiTheme="minorHAnsi" w:hAnsiTheme="minorHAnsi" w:cstheme="minorHAnsi"/>
        </w:rPr>
        <w:t xml:space="preserve">will only go to committee </w:t>
      </w:r>
      <w:r w:rsidRPr="00180F9D">
        <w:rPr>
          <w:rFonts w:asciiTheme="minorHAnsi" w:hAnsiTheme="minorHAnsi" w:cstheme="minorHAnsi"/>
        </w:rPr>
        <w:t>where the Parish Council (1) puts up material planning reasons contrary to the officer’s view, (2) the Officers in consultation with the committee chairman or vice chairman and the Local Member agree they are material, and (3) those contrary reasons cannot be overcome by conditions or negotiation</w:t>
      </w:r>
      <w:r>
        <w:rPr>
          <w:rFonts w:asciiTheme="minorHAnsi" w:hAnsiTheme="minorHAnsi" w:cstheme="minorHAnsi"/>
        </w:rPr>
        <w:t xml:space="preserve">.  Furthermore, the </w:t>
      </w:r>
      <w:r w:rsidRPr="008E33D8">
        <w:rPr>
          <w:rFonts w:asciiTheme="minorHAnsi" w:hAnsiTheme="minorHAnsi" w:cstheme="minorHAnsi"/>
        </w:rPr>
        <w:t xml:space="preserve">internal procedure re Parish </w:t>
      </w:r>
      <w:r>
        <w:rPr>
          <w:rFonts w:asciiTheme="minorHAnsi" w:hAnsiTheme="minorHAnsi" w:cstheme="minorHAnsi"/>
        </w:rPr>
        <w:t xml:space="preserve">and Town </w:t>
      </w:r>
      <w:r w:rsidRPr="008E33D8">
        <w:rPr>
          <w:rFonts w:asciiTheme="minorHAnsi" w:hAnsiTheme="minorHAnsi" w:cstheme="minorHAnsi"/>
        </w:rPr>
        <w:t xml:space="preserve">Council involvement is that a final officer recommendation is made (with report written) and if this is contrary to the Parish </w:t>
      </w:r>
      <w:r>
        <w:rPr>
          <w:rFonts w:asciiTheme="minorHAnsi" w:hAnsiTheme="minorHAnsi" w:cstheme="minorHAnsi"/>
        </w:rPr>
        <w:t xml:space="preserve">or Town </w:t>
      </w:r>
      <w:r w:rsidRPr="008E33D8">
        <w:rPr>
          <w:rFonts w:asciiTheme="minorHAnsi" w:hAnsiTheme="minorHAnsi" w:cstheme="minorHAnsi"/>
        </w:rPr>
        <w:t xml:space="preserve">Council’s comments, then the views of the local member are sought as to whether the decision should remain delegated or be put forward for committee determination. </w:t>
      </w:r>
      <w:r>
        <w:rPr>
          <w:rFonts w:asciiTheme="minorHAnsi" w:hAnsiTheme="minorHAnsi" w:cstheme="minorHAnsi"/>
        </w:rPr>
        <w:t xml:space="preserve"> </w:t>
      </w:r>
      <w:r w:rsidRPr="008E33D8">
        <w:rPr>
          <w:rFonts w:asciiTheme="minorHAnsi" w:hAnsiTheme="minorHAnsi" w:cstheme="minorHAnsi"/>
        </w:rPr>
        <w:t>Only then, will the chair and vice chair be made aware of the proposal.</w:t>
      </w:r>
    </w:p>
    <w:p w:rsidR="001D2792"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This should be spelt out in the final SCI, rather than giving the false impression that it is within the gift of a Parish or Town Council to obtain a committee referral.</w:t>
      </w:r>
    </w:p>
    <w:p w:rsidR="001D2792" w:rsidRPr="00813D70" w:rsidRDefault="001D2792" w:rsidP="001D2792">
      <w:pPr>
        <w:pStyle w:val="ListParagraph"/>
        <w:numPr>
          <w:ilvl w:val="1"/>
          <w:numId w:val="0"/>
        </w:numPr>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If the Council wishes to be more open, it might be a good idea to include within the final SCI some indication of the small number of planning applications that do go before planning committees.</w:t>
      </w:r>
    </w:p>
    <w:p w:rsidR="001D2792" w:rsidRPr="00543E94" w:rsidRDefault="001D2792" w:rsidP="00C100E0">
      <w:pPr>
        <w:spacing w:after="120"/>
        <w:rPr>
          <w:rFonts w:asciiTheme="minorHAnsi" w:hAnsiTheme="minorHAnsi" w:cstheme="minorHAnsi"/>
          <w:b/>
          <w:bCs/>
          <w:color w:val="008080"/>
          <w:sz w:val="28"/>
          <w:szCs w:val="28"/>
          <w:bdr w:val="none" w:sz="0" w:space="0" w:color="auto" w:frame="1"/>
          <w:lang w:eastAsia="en-GB"/>
        </w:rPr>
      </w:pPr>
      <w:r w:rsidRPr="00543E94">
        <w:rPr>
          <w:rFonts w:asciiTheme="minorHAnsi" w:hAnsiTheme="minorHAnsi" w:cstheme="minorHAnsi"/>
          <w:b/>
          <w:bCs/>
          <w:color w:val="008080"/>
          <w:sz w:val="28"/>
          <w:szCs w:val="28"/>
          <w:bdr w:val="none" w:sz="0" w:space="0" w:color="auto" w:frame="1"/>
          <w:lang w:eastAsia="en-GB"/>
        </w:rPr>
        <w:t>Section 5: Local Consultee Database</w:t>
      </w:r>
    </w:p>
    <w:p w:rsidR="001D2792" w:rsidRPr="00543E94" w:rsidRDefault="001D2792" w:rsidP="001D2792">
      <w:pPr>
        <w:shd w:val="clear" w:color="auto" w:fill="FFFFFF"/>
        <w:spacing w:after="120"/>
        <w:rPr>
          <w:rFonts w:asciiTheme="minorHAnsi" w:hAnsiTheme="minorHAnsi" w:cstheme="minorHAnsi"/>
          <w:color w:val="008080"/>
          <w:bdr w:val="none" w:sz="0" w:space="0" w:color="auto" w:frame="1"/>
          <w:lang w:eastAsia="en-GB"/>
        </w:rPr>
      </w:pPr>
      <w:r w:rsidRPr="00543E94">
        <w:rPr>
          <w:rFonts w:asciiTheme="minorHAnsi" w:hAnsiTheme="minorHAnsi" w:cstheme="minorHAnsi"/>
          <w:color w:val="008080"/>
          <w:bdr w:val="none" w:sz="0" w:space="0" w:color="auto" w:frame="1"/>
          <w:lang w:eastAsia="en-GB"/>
        </w:rPr>
        <w:t>Q5 Do you agree with the policies Shropshire Council will follow in managing its consultee database?</w:t>
      </w:r>
    </w:p>
    <w:p w:rsidR="001D2792" w:rsidRDefault="001D2792" w:rsidP="001D2792">
      <w:pPr>
        <w:shd w:val="clear" w:color="auto" w:fill="FFFFFF"/>
        <w:spacing w:after="160"/>
        <w:rPr>
          <w:rFonts w:asciiTheme="minorHAnsi" w:hAnsiTheme="minorHAnsi" w:cstheme="minorHAnsi"/>
          <w:i/>
          <w:color w:val="000000"/>
          <w:sz w:val="21"/>
          <w:szCs w:val="21"/>
          <w:lang w:eastAsia="en-GB"/>
        </w:rPr>
      </w:pPr>
      <w:r w:rsidRPr="00D80396">
        <w:rPr>
          <w:rFonts w:asciiTheme="minorHAnsi" w:hAnsiTheme="minorHAnsi" w:cstheme="minorHAnsi"/>
          <w:i/>
          <w:color w:val="000000"/>
          <w:sz w:val="21"/>
          <w:szCs w:val="21"/>
          <w:bdr w:val="none" w:sz="0" w:space="0" w:color="auto" w:frame="1"/>
          <w:lang w:eastAsia="en-GB"/>
        </w:rPr>
        <w:lastRenderedPageBreak/>
        <w:t xml:space="preserve">Options: Yes; No; </w:t>
      </w:r>
      <w:r w:rsidRPr="00D80396">
        <w:rPr>
          <w:rFonts w:asciiTheme="minorHAnsi" w:hAnsiTheme="minorHAnsi" w:cstheme="minorHAnsi"/>
          <w:i/>
          <w:color w:val="000000"/>
          <w:sz w:val="21"/>
          <w:szCs w:val="21"/>
          <w:lang w:eastAsia="en-GB"/>
        </w:rPr>
        <w:t>If no, please comment on what other factors we need to consider as part of this section of the SCI?</w:t>
      </w:r>
    </w:p>
    <w:p w:rsidR="001D2792" w:rsidRPr="00593339" w:rsidRDefault="001D2792" w:rsidP="001D2792">
      <w:pPr>
        <w:pStyle w:val="ListParagraph"/>
        <w:numPr>
          <w:ilvl w:val="1"/>
          <w:numId w:val="0"/>
        </w:numPr>
        <w:spacing w:after="240"/>
        <w:contextualSpacing w:val="0"/>
        <w:textAlignment w:val="baseline"/>
        <w:rPr>
          <w:rFonts w:asciiTheme="minorHAnsi" w:hAnsiTheme="minorHAnsi" w:cstheme="minorHAnsi"/>
          <w:color w:val="000000"/>
          <w:sz w:val="21"/>
          <w:szCs w:val="21"/>
          <w:lang w:eastAsia="en-GB"/>
        </w:rPr>
      </w:pPr>
      <w:r>
        <w:rPr>
          <w:rFonts w:asciiTheme="minorHAnsi" w:hAnsiTheme="minorHAnsi" w:cstheme="minorHAnsi"/>
          <w:color w:val="000000"/>
          <w:szCs w:val="24"/>
          <w:lang w:eastAsia="en-GB"/>
        </w:rPr>
        <w:t>The Council’s planning policy database is presumably continually updated as and when the team becomes aware of any new contacts who have an interest in the planning process.  It is a perennial problem that many people simply are not aware of important consultations that could affect them.  Is it possible to make use of other databases available to the Council, in order also to notify greater numbers of other harder-to-reach contacts?</w:t>
      </w:r>
    </w:p>
    <w:p w:rsidR="001D2792" w:rsidRPr="00543E94" w:rsidRDefault="001D2792" w:rsidP="00C100E0">
      <w:pPr>
        <w:keepNext/>
        <w:spacing w:after="120"/>
        <w:rPr>
          <w:rFonts w:asciiTheme="minorHAnsi" w:hAnsiTheme="minorHAnsi" w:cstheme="minorHAnsi"/>
          <w:b/>
          <w:bCs/>
          <w:color w:val="008080"/>
          <w:sz w:val="28"/>
          <w:szCs w:val="28"/>
          <w:bdr w:val="none" w:sz="0" w:space="0" w:color="auto" w:frame="1"/>
          <w:lang w:eastAsia="en-GB"/>
        </w:rPr>
      </w:pPr>
      <w:r w:rsidRPr="00543E94">
        <w:rPr>
          <w:rFonts w:asciiTheme="minorHAnsi" w:hAnsiTheme="minorHAnsi" w:cstheme="minorHAnsi"/>
          <w:b/>
          <w:bCs/>
          <w:color w:val="008080"/>
          <w:sz w:val="28"/>
          <w:szCs w:val="28"/>
          <w:bdr w:val="none" w:sz="0" w:space="0" w:color="auto" w:frame="1"/>
          <w:lang w:eastAsia="en-GB"/>
        </w:rPr>
        <w:t>Section 6: Resources and monitoring</w:t>
      </w:r>
    </w:p>
    <w:p w:rsidR="001D2792" w:rsidRPr="00543E94" w:rsidRDefault="001D2792" w:rsidP="001D2792">
      <w:pPr>
        <w:shd w:val="clear" w:color="auto" w:fill="FFFFFF"/>
        <w:spacing w:after="120"/>
        <w:rPr>
          <w:rFonts w:asciiTheme="minorHAnsi" w:hAnsiTheme="minorHAnsi" w:cstheme="minorHAnsi"/>
          <w:color w:val="008080"/>
          <w:bdr w:val="none" w:sz="0" w:space="0" w:color="auto" w:frame="1"/>
          <w:lang w:eastAsia="en-GB"/>
        </w:rPr>
      </w:pPr>
      <w:r w:rsidRPr="00543E94">
        <w:rPr>
          <w:rFonts w:asciiTheme="minorHAnsi" w:hAnsiTheme="minorHAnsi" w:cstheme="minorHAnsi"/>
          <w:color w:val="008080"/>
          <w:bdr w:val="none" w:sz="0" w:space="0" w:color="auto" w:frame="1"/>
          <w:lang w:eastAsia="en-GB"/>
        </w:rPr>
        <w:t>Q6 Do you agree with the principle of enhancing electronic communications as part of the planning process?</w:t>
      </w:r>
    </w:p>
    <w:p w:rsidR="001D2792" w:rsidRDefault="001D2792" w:rsidP="001D2792">
      <w:pPr>
        <w:shd w:val="clear" w:color="auto" w:fill="FFFFFF"/>
        <w:spacing w:after="160"/>
        <w:rPr>
          <w:rFonts w:asciiTheme="minorHAnsi" w:hAnsiTheme="minorHAnsi" w:cstheme="minorHAnsi"/>
          <w:i/>
          <w:color w:val="000000"/>
          <w:sz w:val="21"/>
          <w:szCs w:val="21"/>
          <w:lang w:eastAsia="en-GB"/>
        </w:rPr>
      </w:pPr>
      <w:r w:rsidRPr="00D80396">
        <w:rPr>
          <w:rFonts w:asciiTheme="minorHAnsi" w:hAnsiTheme="minorHAnsi" w:cstheme="minorHAnsi"/>
          <w:i/>
          <w:color w:val="000000"/>
          <w:sz w:val="21"/>
          <w:szCs w:val="21"/>
          <w:bdr w:val="none" w:sz="0" w:space="0" w:color="auto" w:frame="1"/>
          <w:lang w:eastAsia="en-GB"/>
        </w:rPr>
        <w:t xml:space="preserve">Options: </w:t>
      </w:r>
      <w:r w:rsidRPr="00D80396">
        <w:rPr>
          <w:rFonts w:asciiTheme="minorHAnsi" w:hAnsiTheme="minorHAnsi" w:cstheme="minorHAnsi"/>
          <w:i/>
          <w:color w:val="000000"/>
          <w:sz w:val="21"/>
          <w:szCs w:val="21"/>
          <w:lang w:eastAsia="en-GB"/>
        </w:rPr>
        <w:t>Yes; No; If no please give details of what other factors we need to consider</w:t>
      </w:r>
    </w:p>
    <w:p w:rsidR="001D2792" w:rsidRPr="00593339" w:rsidRDefault="001D2792" w:rsidP="001D2792">
      <w:pPr>
        <w:pStyle w:val="ListParagraph"/>
        <w:numPr>
          <w:ilvl w:val="1"/>
          <w:numId w:val="0"/>
        </w:numPr>
        <w:spacing w:after="240"/>
        <w:contextualSpacing w:val="0"/>
        <w:textAlignment w:val="baseline"/>
        <w:rPr>
          <w:rFonts w:asciiTheme="minorHAnsi" w:hAnsiTheme="minorHAnsi" w:cstheme="minorHAnsi"/>
          <w:color w:val="000000"/>
          <w:sz w:val="21"/>
          <w:szCs w:val="21"/>
          <w:lang w:eastAsia="en-GB"/>
        </w:rPr>
      </w:pPr>
      <w:r>
        <w:rPr>
          <w:rFonts w:asciiTheme="minorHAnsi" w:hAnsiTheme="minorHAnsi" w:cstheme="minorHAnsi"/>
          <w:color w:val="000000"/>
          <w:szCs w:val="24"/>
          <w:lang w:eastAsia="en-GB"/>
        </w:rPr>
        <w:t xml:space="preserve">Yes and No!  For frequent users of the system like ourselves and our members it is hugely helpful to have all information available electronically, as long as it is presented in an easily accessible way.  Generally, the Council’s systems are very good in this respect and certainly are much more user friendly and complete than the planning websites for the neighbouring local authorities of Telford &amp; Wrekin Council and Powys County Council.  Sometimes, however, it can be a bit of a paper chase finding relevant documents.  In this respect, it is disappointing that the internal search facility on the Council’s home page is abysmal at finding things.  It is usually more productive to use a Google search, which often locates documents on the Council’s website much more effectively. </w:t>
      </w:r>
    </w:p>
    <w:p w:rsidR="001D2792" w:rsidRPr="00A95311" w:rsidRDefault="001D2792" w:rsidP="00A95311">
      <w:pPr>
        <w:pStyle w:val="ListParagraph"/>
        <w:numPr>
          <w:ilvl w:val="1"/>
          <w:numId w:val="0"/>
        </w:numPr>
        <w:spacing w:after="240"/>
        <w:contextualSpacing w:val="0"/>
        <w:textAlignment w:val="baseline"/>
        <w:rPr>
          <w:rFonts w:asciiTheme="minorHAnsi" w:hAnsiTheme="minorHAnsi" w:cstheme="minorHAnsi"/>
          <w:color w:val="000000"/>
          <w:sz w:val="21"/>
          <w:szCs w:val="21"/>
          <w:lang w:eastAsia="en-GB"/>
        </w:rPr>
      </w:pPr>
      <w:r>
        <w:rPr>
          <w:rFonts w:asciiTheme="minorHAnsi" w:hAnsiTheme="minorHAnsi" w:cstheme="minorHAnsi"/>
          <w:color w:val="000000"/>
          <w:szCs w:val="24"/>
          <w:lang w:eastAsia="en-GB"/>
        </w:rPr>
        <w:t xml:space="preserve">However, as stated above at paragraph 2.7 </w:t>
      </w:r>
      <w:r>
        <w:rPr>
          <w:rFonts w:asciiTheme="minorHAnsi" w:hAnsiTheme="minorHAnsi" w:cstheme="minorHAnsi"/>
          <w:lang w:eastAsia="en-GB"/>
        </w:rPr>
        <w:t>there are still significant numbers of people who do not engage easily with electronic communication, and/or who are not internet-savvy, and/or who are not aware that a consultation is happening, even though they might well be affected by the outcome.  Shropshire Council should not rely wholly on electronic forms of communication but must also continue to engage with its public by traditional means.  This is particularly so when decent broadband and mobile coverage is still patchy in all too many parts of the county</w:t>
      </w:r>
      <w:r>
        <w:rPr>
          <w:rFonts w:asciiTheme="minorHAnsi" w:hAnsiTheme="minorHAnsi" w:cstheme="minorHAnsi"/>
          <w:color w:val="000000"/>
          <w:szCs w:val="24"/>
          <w:lang w:eastAsia="en-GB"/>
        </w:rPr>
        <w:t xml:space="preserve"> and will remain so until there is universal fast broadband cover throughout Shropshire.  Even then, there will still be significant numbers of people, particularly within Shropshire’s ageing population, who would not engage with the internet and who would still prefer traditional means of communication.  These harder-to-reach people should not be disenfranchised just because it is easier, cheaper and less resource-intensive to adopt wholly electronic communications.</w:t>
      </w:r>
    </w:p>
    <w:p w:rsidR="001D2792" w:rsidRPr="00543E94" w:rsidRDefault="001D2792" w:rsidP="001D2792">
      <w:pPr>
        <w:shd w:val="clear" w:color="auto" w:fill="FFFFFF"/>
        <w:spacing w:after="120"/>
        <w:rPr>
          <w:rFonts w:asciiTheme="minorHAnsi" w:hAnsiTheme="minorHAnsi" w:cstheme="minorHAnsi"/>
          <w:color w:val="000000"/>
          <w:lang w:eastAsia="en-GB"/>
        </w:rPr>
      </w:pPr>
      <w:r w:rsidRPr="00543E94">
        <w:rPr>
          <w:rFonts w:asciiTheme="minorHAnsi" w:hAnsiTheme="minorHAnsi" w:cstheme="minorHAnsi"/>
          <w:color w:val="008080"/>
          <w:bdr w:val="none" w:sz="0" w:space="0" w:color="auto" w:frame="1"/>
          <w:lang w:eastAsia="en-GB"/>
        </w:rPr>
        <w:t>Q7 Do you agree with the level of monitoring proposed in the SCI and the possible revisions that may be required in the SCI</w:t>
      </w:r>
    </w:p>
    <w:p w:rsidR="001D2792" w:rsidRDefault="001D2792" w:rsidP="001D2792">
      <w:pPr>
        <w:shd w:val="clear" w:color="auto" w:fill="FFFFFF"/>
        <w:spacing w:after="160"/>
        <w:rPr>
          <w:rFonts w:asciiTheme="minorHAnsi" w:hAnsiTheme="minorHAnsi" w:cstheme="minorHAnsi"/>
          <w:i/>
          <w:color w:val="000000"/>
          <w:sz w:val="21"/>
          <w:szCs w:val="21"/>
          <w:lang w:eastAsia="en-GB"/>
        </w:rPr>
      </w:pPr>
      <w:r w:rsidRPr="00D80396">
        <w:rPr>
          <w:rFonts w:asciiTheme="minorHAnsi" w:hAnsiTheme="minorHAnsi" w:cstheme="minorHAnsi"/>
          <w:i/>
          <w:color w:val="000000"/>
          <w:sz w:val="21"/>
          <w:szCs w:val="21"/>
          <w:bdr w:val="none" w:sz="0" w:space="0" w:color="auto" w:frame="1"/>
          <w:lang w:eastAsia="en-GB"/>
        </w:rPr>
        <w:t xml:space="preserve">Options: </w:t>
      </w:r>
      <w:r w:rsidRPr="00D80396">
        <w:rPr>
          <w:rFonts w:asciiTheme="minorHAnsi" w:hAnsiTheme="minorHAnsi" w:cstheme="minorHAnsi"/>
          <w:i/>
          <w:color w:val="000000"/>
          <w:sz w:val="21"/>
          <w:szCs w:val="21"/>
          <w:lang w:eastAsia="en-GB"/>
        </w:rPr>
        <w:t>Yes, No, If no, what other areas of monitoring of the SCI do we need to consider</w:t>
      </w:r>
    </w:p>
    <w:p w:rsidR="001D2792" w:rsidRPr="00D43704" w:rsidRDefault="001D2792" w:rsidP="00A95311">
      <w:pPr>
        <w:pStyle w:val="ListParagraph"/>
        <w:numPr>
          <w:ilvl w:val="1"/>
          <w:numId w:val="0"/>
        </w:numPr>
        <w:contextualSpacing w:val="0"/>
        <w:textAlignment w:val="baseline"/>
        <w:rPr>
          <w:rFonts w:asciiTheme="minorHAnsi" w:hAnsiTheme="minorHAnsi" w:cstheme="minorHAnsi"/>
          <w:color w:val="000000"/>
          <w:sz w:val="21"/>
          <w:szCs w:val="21"/>
          <w:lang w:eastAsia="en-GB"/>
        </w:rPr>
      </w:pPr>
      <w:r>
        <w:rPr>
          <w:rFonts w:asciiTheme="minorHAnsi" w:hAnsiTheme="minorHAnsi" w:cstheme="minorHAnsi"/>
          <w:color w:val="000000"/>
          <w:szCs w:val="24"/>
          <w:lang w:eastAsia="en-GB"/>
        </w:rPr>
        <w:t>Yes, we agree that the SCI’s implementation should be monitored, particularly to include better ways of engaging with the public and of listening to them.  The term “locality working” is unclear and a definition of what is meant by it could be included in the glossary.</w:t>
      </w:r>
    </w:p>
    <w:p w:rsidR="00A95311" w:rsidRDefault="00A95311" w:rsidP="001D2792">
      <w:pPr>
        <w:shd w:val="clear" w:color="auto" w:fill="FFFFFF"/>
        <w:spacing w:after="240"/>
        <w:rPr>
          <w:rFonts w:asciiTheme="minorHAnsi" w:hAnsiTheme="minorHAnsi" w:cstheme="minorHAnsi"/>
          <w:color w:val="008080"/>
          <w:bdr w:val="none" w:sz="0" w:space="0" w:color="auto" w:frame="1"/>
          <w:lang w:eastAsia="en-GB"/>
        </w:rPr>
      </w:pPr>
    </w:p>
    <w:p w:rsidR="00952E4E" w:rsidRDefault="00952E4E" w:rsidP="001D2792">
      <w:pPr>
        <w:shd w:val="clear" w:color="auto" w:fill="FFFFFF"/>
        <w:spacing w:after="240"/>
        <w:rPr>
          <w:rFonts w:asciiTheme="minorHAnsi" w:hAnsiTheme="minorHAnsi" w:cstheme="minorHAnsi"/>
          <w:color w:val="008080"/>
          <w:bdr w:val="none" w:sz="0" w:space="0" w:color="auto" w:frame="1"/>
          <w:lang w:eastAsia="en-GB"/>
        </w:rPr>
      </w:pPr>
    </w:p>
    <w:p w:rsidR="001D2792" w:rsidRPr="00A95311" w:rsidRDefault="001D2792" w:rsidP="001D2792">
      <w:pPr>
        <w:shd w:val="clear" w:color="auto" w:fill="FFFFFF"/>
        <w:spacing w:after="240"/>
        <w:rPr>
          <w:rFonts w:asciiTheme="minorHAnsi" w:hAnsiTheme="minorHAnsi" w:cstheme="minorHAnsi"/>
          <w:color w:val="008080"/>
          <w:bdr w:val="none" w:sz="0" w:space="0" w:color="auto" w:frame="1"/>
          <w:lang w:eastAsia="en-GB"/>
        </w:rPr>
      </w:pPr>
      <w:r w:rsidRPr="00543E94">
        <w:rPr>
          <w:rFonts w:asciiTheme="minorHAnsi" w:hAnsiTheme="minorHAnsi" w:cstheme="minorHAnsi"/>
          <w:color w:val="008080"/>
          <w:bdr w:val="none" w:sz="0" w:space="0" w:color="auto" w:frame="1"/>
          <w:lang w:eastAsia="en-GB"/>
        </w:rPr>
        <w:t>Q8 Please make any additional comments on this consultation and the Statement of Community Involvement</w:t>
      </w:r>
    </w:p>
    <w:p w:rsidR="00952E4E" w:rsidRDefault="00952E4E" w:rsidP="001D2792">
      <w:pPr>
        <w:pStyle w:val="ListParagraph"/>
        <w:spacing w:before="360"/>
        <w:contextualSpacing w:val="0"/>
        <w:rPr>
          <w:rFonts w:asciiTheme="minorHAnsi" w:hAnsiTheme="minorHAnsi" w:cstheme="minorHAnsi"/>
          <w:b/>
          <w:color w:val="0070C0"/>
          <w:sz w:val="36"/>
          <w:szCs w:val="36"/>
          <w:lang w:eastAsia="en-GB"/>
        </w:rPr>
      </w:pPr>
    </w:p>
    <w:p w:rsidR="001D2792" w:rsidRPr="00F369A9" w:rsidRDefault="001D2792" w:rsidP="001D2792">
      <w:pPr>
        <w:pStyle w:val="ListParagraph"/>
        <w:spacing w:before="360"/>
        <w:contextualSpacing w:val="0"/>
        <w:rPr>
          <w:rFonts w:asciiTheme="minorHAnsi" w:hAnsiTheme="minorHAnsi" w:cstheme="minorHAnsi"/>
          <w:b/>
          <w:color w:val="0070C0"/>
          <w:sz w:val="36"/>
          <w:szCs w:val="36"/>
          <w:lang w:eastAsia="en-GB"/>
        </w:rPr>
      </w:pPr>
      <w:r>
        <w:rPr>
          <w:rFonts w:asciiTheme="minorHAnsi" w:hAnsiTheme="minorHAnsi" w:cstheme="minorHAnsi"/>
          <w:b/>
          <w:color w:val="0070C0"/>
          <w:sz w:val="36"/>
          <w:szCs w:val="36"/>
          <w:lang w:eastAsia="en-GB"/>
        </w:rPr>
        <w:t>Summary</w:t>
      </w:r>
    </w:p>
    <w:p w:rsidR="001D2792" w:rsidRPr="00D43704" w:rsidRDefault="001D2792" w:rsidP="001D2792">
      <w:pPr>
        <w:pStyle w:val="ListParagraph"/>
        <w:numPr>
          <w:ilvl w:val="1"/>
          <w:numId w:val="0"/>
        </w:numPr>
        <w:contextualSpacing w:val="0"/>
        <w:textAlignment w:val="baseline"/>
        <w:rPr>
          <w:rFonts w:asciiTheme="minorHAnsi" w:hAnsiTheme="minorHAnsi" w:cstheme="minorHAnsi"/>
          <w:color w:val="000000"/>
          <w:sz w:val="21"/>
          <w:szCs w:val="21"/>
          <w:lang w:eastAsia="en-GB"/>
        </w:rPr>
      </w:pPr>
      <w:r>
        <w:rPr>
          <w:rFonts w:asciiTheme="minorHAnsi" w:hAnsiTheme="minorHAnsi" w:cstheme="minorHAnsi"/>
          <w:color w:val="000000"/>
          <w:szCs w:val="24"/>
          <w:lang w:eastAsia="en-GB"/>
        </w:rPr>
        <w:t>In summary, and in response to Question 8 above, the main points we raise above are:</w:t>
      </w:r>
    </w:p>
    <w:p w:rsidR="001D2792" w:rsidRDefault="001D2792" w:rsidP="001D2792">
      <w:pPr>
        <w:pStyle w:val="ListParagraph"/>
        <w:contextualSpacing w:val="0"/>
        <w:textAlignment w:val="baseline"/>
        <w:rPr>
          <w:rFonts w:asciiTheme="minorHAnsi" w:hAnsiTheme="minorHAnsi" w:cstheme="minorHAnsi"/>
          <w:color w:val="000000"/>
          <w:szCs w:val="24"/>
          <w:lang w:eastAsia="en-GB"/>
        </w:rPr>
      </w:pPr>
      <w:r w:rsidRPr="00543E94">
        <w:rPr>
          <w:rFonts w:asciiTheme="minorHAnsi" w:hAnsiTheme="minorHAnsi" w:cstheme="minorHAnsi"/>
          <w:color w:val="000000"/>
          <w:szCs w:val="24"/>
          <w:lang w:eastAsia="en-GB"/>
        </w:rPr>
        <w:t xml:space="preserve">The </w:t>
      </w:r>
      <w:r>
        <w:rPr>
          <w:rFonts w:asciiTheme="minorHAnsi" w:hAnsiTheme="minorHAnsi" w:cstheme="minorHAnsi"/>
          <w:color w:val="000000"/>
          <w:szCs w:val="24"/>
          <w:lang w:eastAsia="en-GB"/>
        </w:rPr>
        <w:t>DSC</w:t>
      </w:r>
      <w:r w:rsidRPr="00543E94">
        <w:rPr>
          <w:rFonts w:asciiTheme="minorHAnsi" w:hAnsiTheme="minorHAnsi" w:cstheme="minorHAnsi"/>
          <w:color w:val="000000"/>
          <w:szCs w:val="24"/>
          <w:lang w:eastAsia="en-GB"/>
        </w:rPr>
        <w:t>I needs to be thoroughly proof-read.</w:t>
      </w:r>
    </w:p>
    <w:p w:rsidR="001D2792"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The update of the SCI should have been carried out some time ago, rather than being left to the last minute in order to tie in with the statutory requirements connected with the Regulation 19 consultation on the Draft Plan.</w:t>
      </w:r>
    </w:p>
    <w:p w:rsidR="001D2792" w:rsidRPr="0024502B"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 xml:space="preserve">The general principles of consultation in the Gunning principles and in the seven Criteria within </w:t>
      </w:r>
      <w:r w:rsidRPr="00A35F31">
        <w:rPr>
          <w:rFonts w:asciiTheme="minorHAnsi" w:hAnsiTheme="minorHAnsi" w:cstheme="minorHAnsi"/>
          <w:lang w:eastAsia="en-GB"/>
        </w:rPr>
        <w:t xml:space="preserve">Government’s own </w:t>
      </w:r>
      <w:r w:rsidRPr="00304F9E">
        <w:rPr>
          <w:rFonts w:asciiTheme="minorHAnsi" w:hAnsiTheme="minorHAnsi" w:cstheme="minorHAnsi"/>
          <w:i/>
          <w:lang w:eastAsia="en-GB"/>
        </w:rPr>
        <w:t>Code of Practice on Consultation</w:t>
      </w:r>
      <w:r>
        <w:rPr>
          <w:rFonts w:asciiTheme="minorHAnsi" w:hAnsiTheme="minorHAnsi" w:cstheme="minorHAnsi"/>
          <w:i/>
          <w:lang w:eastAsia="en-GB"/>
        </w:rPr>
        <w:t xml:space="preserve"> </w:t>
      </w:r>
      <w:r w:rsidRPr="000746BB">
        <w:rPr>
          <w:rFonts w:asciiTheme="minorHAnsi" w:hAnsiTheme="minorHAnsi" w:cstheme="minorHAnsi"/>
          <w:lang w:eastAsia="en-GB"/>
        </w:rPr>
        <w:t xml:space="preserve">should be spelt out within the </w:t>
      </w:r>
      <w:r>
        <w:rPr>
          <w:rFonts w:asciiTheme="minorHAnsi" w:hAnsiTheme="minorHAnsi" w:cstheme="minorHAnsi"/>
          <w:lang w:eastAsia="en-GB"/>
        </w:rPr>
        <w:t xml:space="preserve">final </w:t>
      </w:r>
      <w:r w:rsidRPr="000746BB">
        <w:rPr>
          <w:rFonts w:asciiTheme="minorHAnsi" w:hAnsiTheme="minorHAnsi" w:cstheme="minorHAnsi"/>
          <w:lang w:eastAsia="en-GB"/>
        </w:rPr>
        <w:t>SCI.</w:t>
      </w:r>
    </w:p>
    <w:p w:rsidR="001D2792"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The recent Covid-19 related legislation concerning consultation arrangements should be summarised or referenced in the final SCI.</w:t>
      </w:r>
    </w:p>
    <w:p w:rsidR="001D2792" w:rsidRPr="00714E28"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 xml:space="preserve">Consultations should be for a minimum of 12 weeks, as recommended by Government.  </w:t>
      </w:r>
      <w:r>
        <w:rPr>
          <w:rFonts w:asciiTheme="minorHAnsi" w:hAnsiTheme="minorHAnsi" w:cstheme="minorHAnsi"/>
          <w:szCs w:val="24"/>
        </w:rPr>
        <w:t>S</w:t>
      </w:r>
      <w:r w:rsidRPr="008F16EF">
        <w:rPr>
          <w:rFonts w:asciiTheme="minorHAnsi" w:hAnsiTheme="minorHAnsi" w:cstheme="minorHAnsi"/>
          <w:szCs w:val="24"/>
        </w:rPr>
        <w:t>ome Parish Councils</w:t>
      </w:r>
      <w:r>
        <w:rPr>
          <w:rFonts w:asciiTheme="minorHAnsi" w:hAnsiTheme="minorHAnsi" w:cstheme="minorHAnsi"/>
          <w:szCs w:val="24"/>
        </w:rPr>
        <w:t xml:space="preserve"> do not meet often enough to be able to give due formal consideration to a consultation that is for only 6 weeks.</w:t>
      </w:r>
    </w:p>
    <w:p w:rsidR="001D2792"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szCs w:val="24"/>
        </w:rPr>
        <w:t>Consultations should, as far as possible, avoid holiday periods, or be for a significantly extended period if they do straddle a holiday period.</w:t>
      </w:r>
    </w:p>
    <w:p w:rsidR="001D2792"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Consultation material should be mainly in electronic form but should not be wholly so; traditional methods should still be used until the County has complete fast broadband cover.</w:t>
      </w:r>
    </w:p>
    <w:p w:rsidR="001D2792" w:rsidRPr="000F3866"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lang w:eastAsia="en-GB"/>
        </w:rPr>
        <w:t>The Council should not rely on hard pressed Parish and Town Councils to disseminate consultation material. However, a notification poster should be produced before the start of all significant consultations, for circulation to Parish and Town Councils via the SALC network, aimed at informing people who are not on the internet about consultations and how to take part in them.</w:t>
      </w:r>
    </w:p>
    <w:p w:rsidR="001D2792" w:rsidRPr="0024502B"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lang w:eastAsia="en-GB"/>
        </w:rPr>
        <w:t>All supporting documents and evidence referred to in a consultation document must be made available at the start of a consultation.</w:t>
      </w:r>
    </w:p>
    <w:p w:rsidR="001D2792"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 xml:space="preserve">If a direct choice between multiple options is offered in a consultation the Council should ensure that its policies reflect the results of the poll on those options and the SCI should make that clear. </w:t>
      </w:r>
    </w:p>
    <w:p w:rsidR="001D2792" w:rsidRDefault="001D2792" w:rsidP="001D2792">
      <w:pPr>
        <w:pStyle w:val="ListParagraph"/>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Reports on consultations should explain how the Council has arrived at its conclusions from those consultations.</w:t>
      </w:r>
    </w:p>
    <w:p w:rsidR="001D2792" w:rsidRDefault="001D2792" w:rsidP="001D2792">
      <w:pPr>
        <w:pStyle w:val="ListParagraph"/>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Neighbour notifications of planning applications should continue to be issued.</w:t>
      </w:r>
    </w:p>
    <w:p w:rsidR="001D2792" w:rsidRDefault="001D2792" w:rsidP="001D2792">
      <w:pPr>
        <w:pStyle w:val="ListParagraph"/>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lastRenderedPageBreak/>
        <w:t>Press notices should continue to be issued for the same range of applications as now.</w:t>
      </w:r>
    </w:p>
    <w:p w:rsidR="001D2792" w:rsidRDefault="001D2792" w:rsidP="001D2792">
      <w:pPr>
        <w:pStyle w:val="ListParagraph"/>
        <w:spacing w:after="240"/>
        <w:contextualSpacing w:val="0"/>
        <w:textAlignment w:val="baseline"/>
        <w:rPr>
          <w:rFonts w:asciiTheme="minorHAnsi" w:hAnsiTheme="minorHAnsi" w:cstheme="minorHAnsi"/>
          <w:color w:val="000000"/>
          <w:szCs w:val="24"/>
          <w:lang w:eastAsia="en-GB"/>
        </w:rPr>
      </w:pPr>
      <w:r>
        <w:rPr>
          <w:rFonts w:asciiTheme="minorHAnsi" w:hAnsiTheme="minorHAnsi" w:cstheme="minorHAnsi"/>
          <w:color w:val="000000"/>
          <w:szCs w:val="24"/>
          <w:lang w:eastAsia="en-GB"/>
        </w:rPr>
        <w:t>The SCI should indicate in the main text of the document (rather than in references to other documents) what proportion of planning applications currently go before committee, and how committee referrals are decided.</w:t>
      </w:r>
    </w:p>
    <w:p w:rsidR="0001370F" w:rsidRDefault="001D2792" w:rsidP="00C100E0">
      <w:pPr>
        <w:pStyle w:val="ListParagraph"/>
        <w:numPr>
          <w:ilvl w:val="1"/>
          <w:numId w:val="0"/>
        </w:numPr>
        <w:contextualSpacing w:val="0"/>
        <w:textAlignment w:val="baseline"/>
        <w:rPr>
          <w:rFonts w:asciiTheme="minorHAnsi" w:hAnsiTheme="minorHAnsi" w:cstheme="minorHAnsi"/>
          <w:color w:val="000000"/>
          <w:szCs w:val="24"/>
          <w:lang w:eastAsia="en-GB"/>
        </w:rPr>
        <w:sectPr w:rsidR="0001370F" w:rsidSect="001F447F">
          <w:headerReference w:type="default" r:id="rId32"/>
          <w:headerReference w:type="first" r:id="rId33"/>
          <w:pgSz w:w="11906" w:h="16838" w:code="9"/>
          <w:pgMar w:top="1440" w:right="1440" w:bottom="851" w:left="1440" w:header="709" w:footer="850" w:gutter="0"/>
          <w:cols w:space="708"/>
          <w:docGrid w:linePitch="360"/>
        </w:sectPr>
      </w:pPr>
      <w:r>
        <w:rPr>
          <w:rFonts w:asciiTheme="minorHAnsi" w:hAnsiTheme="minorHAnsi" w:cstheme="minorHAnsi"/>
          <w:color w:val="000000"/>
          <w:szCs w:val="24"/>
          <w:lang w:eastAsia="en-GB"/>
        </w:rPr>
        <w:t>We look forward to receiving the Council’s feedback on this submission.</w:t>
      </w:r>
      <w:r w:rsidR="0001370F">
        <w:rPr>
          <w:rFonts w:asciiTheme="minorHAnsi" w:hAnsiTheme="minorHAnsi" w:cstheme="minorHAnsi"/>
          <w:color w:val="000000"/>
          <w:szCs w:val="24"/>
          <w:lang w:eastAsia="en-GB"/>
        </w:rPr>
        <w:t xml:space="preserve"> </w:t>
      </w:r>
    </w:p>
    <w:p w:rsidR="0001370F" w:rsidRPr="008F4A98" w:rsidRDefault="0001370F" w:rsidP="0001370F">
      <w:pPr>
        <w:pStyle w:val="ListParagraph"/>
        <w:contextualSpacing w:val="0"/>
        <w:textAlignment w:val="baseline"/>
        <w:rPr>
          <w:rFonts w:asciiTheme="minorHAnsi" w:hAnsiTheme="minorHAnsi" w:cstheme="minorHAnsi"/>
          <w:color w:val="000000"/>
          <w:sz w:val="21"/>
          <w:szCs w:val="21"/>
          <w:lang w:eastAsia="en-GB"/>
        </w:rPr>
      </w:pPr>
    </w:p>
    <w:p w:rsidR="0001370F" w:rsidRPr="00F8282D" w:rsidRDefault="0001370F" w:rsidP="0001370F">
      <w:pPr>
        <w:jc w:val="center"/>
        <w:rPr>
          <w:b/>
          <w:sz w:val="56"/>
          <w:szCs w:val="56"/>
        </w:rPr>
      </w:pPr>
      <w:r w:rsidRPr="00F8282D">
        <w:rPr>
          <w:b/>
          <w:sz w:val="56"/>
          <w:szCs w:val="56"/>
        </w:rPr>
        <w:t>Shropshire Council</w:t>
      </w:r>
    </w:p>
    <w:p w:rsidR="0001370F" w:rsidRDefault="0001370F" w:rsidP="0001370F">
      <w:pPr>
        <w:jc w:val="center"/>
        <w:rPr>
          <w:b/>
          <w:sz w:val="44"/>
          <w:szCs w:val="44"/>
        </w:rPr>
      </w:pPr>
      <w:r>
        <w:rPr>
          <w:b/>
          <w:sz w:val="44"/>
          <w:szCs w:val="44"/>
        </w:rPr>
        <w:t xml:space="preserve">Consultation on the Regulation 19: Pre-Submission Draft of the Shropshire </w:t>
      </w:r>
    </w:p>
    <w:p w:rsidR="0001370F" w:rsidRPr="006240C5" w:rsidRDefault="0001370F" w:rsidP="0001370F">
      <w:pPr>
        <w:jc w:val="center"/>
        <w:rPr>
          <w:b/>
          <w:sz w:val="44"/>
          <w:szCs w:val="44"/>
        </w:rPr>
      </w:pPr>
      <w:r w:rsidRPr="006240C5">
        <w:rPr>
          <w:b/>
          <w:sz w:val="44"/>
          <w:szCs w:val="44"/>
        </w:rPr>
        <w:t xml:space="preserve"> 18</w:t>
      </w:r>
      <w:r w:rsidRPr="006240C5">
        <w:rPr>
          <w:b/>
          <w:sz w:val="44"/>
          <w:szCs w:val="44"/>
          <w:vertAlign w:val="superscript"/>
        </w:rPr>
        <w:t>th</w:t>
      </w:r>
      <w:r w:rsidRPr="006240C5">
        <w:rPr>
          <w:b/>
          <w:sz w:val="44"/>
          <w:szCs w:val="44"/>
        </w:rPr>
        <w:t xml:space="preserve"> December 2020 – 5</w:t>
      </w:r>
      <w:r w:rsidRPr="006240C5">
        <w:rPr>
          <w:b/>
          <w:sz w:val="44"/>
          <w:szCs w:val="44"/>
          <w:vertAlign w:val="superscript"/>
        </w:rPr>
        <w:t>th</w:t>
      </w:r>
      <w:r w:rsidRPr="006240C5">
        <w:rPr>
          <w:b/>
          <w:sz w:val="44"/>
          <w:szCs w:val="44"/>
        </w:rPr>
        <w:t xml:space="preserve"> February 2021 </w:t>
      </w:r>
    </w:p>
    <w:p w:rsidR="0001370F" w:rsidRDefault="0001370F" w:rsidP="0001370F">
      <w:pPr>
        <w:jc w:val="center"/>
        <w:rPr>
          <w:b/>
          <w:sz w:val="40"/>
          <w:szCs w:val="40"/>
        </w:rPr>
      </w:pPr>
    </w:p>
    <w:p w:rsidR="0001370F" w:rsidRPr="006240C5" w:rsidRDefault="0001370F" w:rsidP="0001370F">
      <w:pPr>
        <w:jc w:val="center"/>
        <w:rPr>
          <w:b/>
          <w:sz w:val="40"/>
          <w:szCs w:val="40"/>
        </w:rPr>
      </w:pPr>
      <w:r w:rsidRPr="006240C5">
        <w:rPr>
          <w:b/>
          <w:sz w:val="40"/>
          <w:szCs w:val="40"/>
        </w:rPr>
        <w:t>Important Information</w:t>
      </w:r>
    </w:p>
    <w:p w:rsidR="0001370F" w:rsidRPr="00F8282D" w:rsidRDefault="0001370F" w:rsidP="0001370F">
      <w:pPr>
        <w:rPr>
          <w:sz w:val="28"/>
          <w:szCs w:val="28"/>
        </w:rPr>
      </w:pPr>
      <w:r w:rsidRPr="00F8282D">
        <w:rPr>
          <w:sz w:val="28"/>
          <w:szCs w:val="28"/>
        </w:rPr>
        <w:t>As a result of the recent national Lockdown restrictions which came into force on 5</w:t>
      </w:r>
      <w:r w:rsidRPr="00F8282D">
        <w:rPr>
          <w:sz w:val="28"/>
          <w:szCs w:val="28"/>
          <w:vertAlign w:val="superscript"/>
        </w:rPr>
        <w:t>th</w:t>
      </w:r>
      <w:r w:rsidRPr="00F8282D">
        <w:rPr>
          <w:sz w:val="28"/>
          <w:szCs w:val="28"/>
        </w:rPr>
        <w:t xml:space="preserve"> January</w:t>
      </w:r>
      <w:r>
        <w:rPr>
          <w:sz w:val="28"/>
          <w:szCs w:val="28"/>
        </w:rPr>
        <w:t xml:space="preserve"> 2021</w:t>
      </w:r>
      <w:r w:rsidRPr="00F8282D">
        <w:rPr>
          <w:sz w:val="28"/>
          <w:szCs w:val="28"/>
        </w:rPr>
        <w:t xml:space="preserve">, it is no longer possible to view either a paper copy or digital copy of the </w:t>
      </w:r>
      <w:r>
        <w:rPr>
          <w:sz w:val="28"/>
          <w:szCs w:val="28"/>
        </w:rPr>
        <w:t xml:space="preserve">Regulation 19: Pre-Submission Draft of the Shropshire </w:t>
      </w:r>
      <w:r w:rsidRPr="00F8282D">
        <w:rPr>
          <w:sz w:val="28"/>
          <w:szCs w:val="28"/>
        </w:rPr>
        <w:t>Local Plan consultation documents</w:t>
      </w:r>
      <w:r>
        <w:rPr>
          <w:sz w:val="28"/>
          <w:szCs w:val="28"/>
        </w:rPr>
        <w:t xml:space="preserve"> in Libraries. </w:t>
      </w:r>
      <w:r w:rsidRPr="00F8282D">
        <w:rPr>
          <w:sz w:val="28"/>
          <w:szCs w:val="28"/>
        </w:rPr>
        <w:t xml:space="preserve"> </w:t>
      </w:r>
    </w:p>
    <w:p w:rsidR="0001370F" w:rsidRPr="00F8282D" w:rsidRDefault="0001370F" w:rsidP="0001370F">
      <w:pPr>
        <w:rPr>
          <w:sz w:val="28"/>
          <w:szCs w:val="28"/>
        </w:rPr>
      </w:pPr>
      <w:r w:rsidRPr="00F8282D">
        <w:rPr>
          <w:sz w:val="28"/>
          <w:szCs w:val="28"/>
        </w:rPr>
        <w:t>I</w:t>
      </w:r>
      <w:r>
        <w:rPr>
          <w:sz w:val="28"/>
          <w:szCs w:val="28"/>
        </w:rPr>
        <w:t>f</w:t>
      </w:r>
      <w:r w:rsidRPr="00F8282D">
        <w:rPr>
          <w:sz w:val="28"/>
          <w:szCs w:val="28"/>
        </w:rPr>
        <w:t xml:space="preserve"> you wish to view and comment on the </w:t>
      </w:r>
      <w:r>
        <w:rPr>
          <w:sz w:val="28"/>
          <w:szCs w:val="28"/>
        </w:rPr>
        <w:t>Regulation 19: Pre-Submission Draft of the Shropshire</w:t>
      </w:r>
      <w:r w:rsidRPr="00F8282D">
        <w:rPr>
          <w:sz w:val="28"/>
          <w:szCs w:val="28"/>
        </w:rPr>
        <w:t xml:space="preserve"> Local Plan consultation, in the first instance please seek to view the </w:t>
      </w:r>
      <w:r>
        <w:rPr>
          <w:sz w:val="28"/>
          <w:szCs w:val="28"/>
        </w:rPr>
        <w:t>Regulation 19: Pre-Submission Draft of the Shropshire</w:t>
      </w:r>
      <w:r w:rsidRPr="00F8282D">
        <w:rPr>
          <w:sz w:val="28"/>
          <w:szCs w:val="28"/>
        </w:rPr>
        <w:t xml:space="preserve"> Local Plan and its supporting documents via the dedicated Shropshire Council’s webpage</w:t>
      </w:r>
      <w:r>
        <w:rPr>
          <w:sz w:val="28"/>
          <w:szCs w:val="28"/>
        </w:rPr>
        <w:t xml:space="preserve"> at</w:t>
      </w:r>
      <w:r w:rsidRPr="00F8282D">
        <w:rPr>
          <w:sz w:val="28"/>
          <w:szCs w:val="28"/>
        </w:rPr>
        <w:t>:</w:t>
      </w:r>
    </w:p>
    <w:p w:rsidR="0001370F" w:rsidRPr="00F8282D" w:rsidRDefault="00B04729" w:rsidP="0001370F">
      <w:pPr>
        <w:rPr>
          <w:sz w:val="28"/>
          <w:szCs w:val="28"/>
        </w:rPr>
      </w:pPr>
      <w:hyperlink r:id="rId34" w:history="1">
        <w:r w:rsidR="0001370F" w:rsidRPr="00F8282D">
          <w:rPr>
            <w:rStyle w:val="Hyperlink"/>
            <w:sz w:val="28"/>
            <w:szCs w:val="28"/>
          </w:rPr>
          <w:t>http://shropshire.gov.uk/get-involved/reg-19-pre-submission-draft-local-plan/</w:t>
        </w:r>
      </w:hyperlink>
    </w:p>
    <w:p w:rsidR="0001370F" w:rsidRDefault="0001370F" w:rsidP="0001370F">
      <w:pPr>
        <w:rPr>
          <w:sz w:val="28"/>
          <w:szCs w:val="28"/>
        </w:rPr>
      </w:pPr>
      <w:r w:rsidRPr="00F8282D">
        <w:rPr>
          <w:sz w:val="28"/>
          <w:szCs w:val="28"/>
        </w:rPr>
        <w:t xml:space="preserve">If you do not have access to the internet </w:t>
      </w:r>
      <w:r>
        <w:rPr>
          <w:sz w:val="28"/>
          <w:szCs w:val="28"/>
        </w:rPr>
        <w:t>Shropshire</w:t>
      </w:r>
      <w:r w:rsidRPr="00F8282D">
        <w:rPr>
          <w:sz w:val="28"/>
          <w:szCs w:val="28"/>
        </w:rPr>
        <w:t xml:space="preserve"> Council can</w:t>
      </w:r>
      <w:r>
        <w:rPr>
          <w:sz w:val="28"/>
          <w:szCs w:val="28"/>
        </w:rPr>
        <w:t>,</w:t>
      </w:r>
      <w:r w:rsidRPr="00F8282D">
        <w:rPr>
          <w:sz w:val="28"/>
          <w:szCs w:val="28"/>
        </w:rPr>
        <w:t xml:space="preserve"> </w:t>
      </w:r>
      <w:r>
        <w:rPr>
          <w:sz w:val="28"/>
          <w:szCs w:val="28"/>
        </w:rPr>
        <w:t xml:space="preserve">on request, </w:t>
      </w:r>
      <w:r w:rsidRPr="00F8282D">
        <w:rPr>
          <w:sz w:val="28"/>
          <w:szCs w:val="28"/>
        </w:rPr>
        <w:t xml:space="preserve">provide a paper copy of </w:t>
      </w:r>
      <w:r>
        <w:rPr>
          <w:sz w:val="28"/>
          <w:szCs w:val="28"/>
        </w:rPr>
        <w:t xml:space="preserve">all or part </w:t>
      </w:r>
      <w:r w:rsidRPr="00F8282D">
        <w:rPr>
          <w:sz w:val="28"/>
          <w:szCs w:val="28"/>
        </w:rPr>
        <w:t xml:space="preserve">the </w:t>
      </w:r>
      <w:r>
        <w:rPr>
          <w:sz w:val="28"/>
          <w:szCs w:val="28"/>
        </w:rPr>
        <w:t xml:space="preserve">Regulation 19: </w:t>
      </w:r>
      <w:r w:rsidRPr="00F8282D">
        <w:rPr>
          <w:sz w:val="28"/>
          <w:szCs w:val="28"/>
        </w:rPr>
        <w:t xml:space="preserve">Pre-Submission Draft of the </w:t>
      </w:r>
      <w:r>
        <w:rPr>
          <w:sz w:val="28"/>
          <w:szCs w:val="28"/>
        </w:rPr>
        <w:t xml:space="preserve">Shropshire </w:t>
      </w:r>
      <w:r w:rsidRPr="00F8282D">
        <w:rPr>
          <w:sz w:val="28"/>
          <w:szCs w:val="28"/>
        </w:rPr>
        <w:t xml:space="preserve">Local Plan </w:t>
      </w:r>
      <w:r>
        <w:rPr>
          <w:sz w:val="28"/>
          <w:szCs w:val="28"/>
        </w:rPr>
        <w:t xml:space="preserve">document </w:t>
      </w:r>
      <w:r w:rsidRPr="00F8282D">
        <w:rPr>
          <w:sz w:val="28"/>
          <w:szCs w:val="28"/>
        </w:rPr>
        <w:t xml:space="preserve">and </w:t>
      </w:r>
      <w:r>
        <w:rPr>
          <w:sz w:val="28"/>
          <w:szCs w:val="28"/>
        </w:rPr>
        <w:t xml:space="preserve">two-part representation </w:t>
      </w:r>
      <w:r w:rsidRPr="00F8282D">
        <w:rPr>
          <w:sz w:val="28"/>
          <w:szCs w:val="28"/>
        </w:rPr>
        <w:t xml:space="preserve">form in the post. In these circumstances please call the following number: </w:t>
      </w:r>
    </w:p>
    <w:p w:rsidR="0001370F" w:rsidRPr="00D474B1" w:rsidRDefault="0001370F" w:rsidP="0001370F">
      <w:pPr>
        <w:autoSpaceDE w:val="0"/>
        <w:autoSpaceDN w:val="0"/>
        <w:rPr>
          <w:rFonts w:cstheme="minorHAnsi"/>
          <w:color w:val="000000"/>
          <w:sz w:val="36"/>
          <w:szCs w:val="36"/>
        </w:rPr>
      </w:pPr>
      <w:r w:rsidRPr="00D474B1">
        <w:rPr>
          <w:rFonts w:cstheme="minorHAnsi"/>
          <w:color w:val="000000"/>
          <w:sz w:val="36"/>
          <w:szCs w:val="36"/>
        </w:rPr>
        <w:t>0345 678 9004</w:t>
      </w:r>
    </w:p>
    <w:p w:rsidR="0001370F" w:rsidRPr="00D474B1" w:rsidRDefault="0001370F" w:rsidP="0001370F">
      <w:pPr>
        <w:autoSpaceDE w:val="0"/>
        <w:autoSpaceDN w:val="0"/>
        <w:rPr>
          <w:sz w:val="36"/>
          <w:szCs w:val="36"/>
        </w:rPr>
      </w:pPr>
    </w:p>
    <w:p w:rsidR="0001370F" w:rsidRDefault="0001370F" w:rsidP="0001370F">
      <w:r w:rsidRPr="00D474B1">
        <w:rPr>
          <w:i/>
          <w:sz w:val="28"/>
          <w:szCs w:val="28"/>
        </w:rPr>
        <w:t xml:space="preserve">To ensure the best use of resources Shropshire Council will consider requests for paper copies </w:t>
      </w:r>
      <w:r>
        <w:rPr>
          <w:i/>
          <w:sz w:val="28"/>
          <w:szCs w:val="28"/>
        </w:rPr>
        <w:t xml:space="preserve">of all or part of the </w:t>
      </w:r>
      <w:r w:rsidRPr="00D474B1">
        <w:rPr>
          <w:i/>
          <w:sz w:val="28"/>
          <w:szCs w:val="28"/>
        </w:rPr>
        <w:t>Regulation 19: Pre-Submission Draft of the Shropshire Local Plan</w:t>
      </w:r>
      <w:r w:rsidRPr="00613801">
        <w:rPr>
          <w:i/>
          <w:sz w:val="28"/>
          <w:szCs w:val="28"/>
        </w:rPr>
        <w:t xml:space="preserve"> do</w:t>
      </w:r>
      <w:r>
        <w:rPr>
          <w:i/>
          <w:sz w:val="28"/>
          <w:szCs w:val="28"/>
        </w:rPr>
        <w:t xml:space="preserve">cument and the two-part representation form </w:t>
      </w:r>
      <w:r w:rsidRPr="00D474B1">
        <w:rPr>
          <w:i/>
          <w:sz w:val="28"/>
          <w:szCs w:val="28"/>
        </w:rPr>
        <w:t xml:space="preserve">on a case by case basis and may be required to apply a charge in order to cover costs of printing and postage. </w:t>
      </w:r>
      <w:r>
        <w:t xml:space="preserve">  </w:t>
      </w:r>
    </w:p>
    <w:p w:rsidR="0001370F" w:rsidRPr="00A61E7D" w:rsidRDefault="0001370F" w:rsidP="0001370F">
      <w:pPr>
        <w:pStyle w:val="ListParagraph"/>
        <w:contextualSpacing w:val="0"/>
        <w:textAlignment w:val="baseline"/>
        <w:rPr>
          <w:rFonts w:asciiTheme="minorHAnsi" w:hAnsiTheme="minorHAnsi" w:cstheme="minorHAnsi"/>
          <w:color w:val="000000"/>
          <w:sz w:val="21"/>
          <w:szCs w:val="21"/>
          <w:lang w:eastAsia="en-GB"/>
        </w:rPr>
      </w:pPr>
    </w:p>
    <w:p w:rsidR="001F447F" w:rsidRDefault="001F447F" w:rsidP="0001370F">
      <w:pPr>
        <w:rPr>
          <w:lang w:eastAsia="en-GB"/>
        </w:rPr>
        <w:sectPr w:rsidR="001F447F" w:rsidSect="0001370F">
          <w:headerReference w:type="default" r:id="rId35"/>
          <w:pgSz w:w="11906" w:h="16838" w:code="9"/>
          <w:pgMar w:top="1440" w:right="1440" w:bottom="851" w:left="1440" w:header="709" w:footer="850" w:gutter="0"/>
          <w:cols w:space="708"/>
          <w:docGrid w:linePitch="360"/>
        </w:sectPr>
      </w:pPr>
    </w:p>
    <w:p w:rsidR="00B96F72" w:rsidRDefault="00B96F72" w:rsidP="000B64AF">
      <w:pPr>
        <w:pStyle w:val="Heading1"/>
        <w:rPr>
          <w:rFonts w:asciiTheme="minorHAnsi" w:hAnsiTheme="minorHAnsi" w:cstheme="minorHAnsi"/>
          <w:sz w:val="32"/>
          <w:szCs w:val="32"/>
        </w:rPr>
      </w:pPr>
      <w:bookmarkStart w:id="67" w:name="_Toc65242953"/>
      <w:r w:rsidRPr="000B64AF">
        <w:rPr>
          <w:rFonts w:asciiTheme="minorHAnsi" w:hAnsiTheme="minorHAnsi" w:cstheme="minorHAnsi"/>
          <w:sz w:val="32"/>
          <w:szCs w:val="32"/>
        </w:rPr>
        <w:lastRenderedPageBreak/>
        <w:t>Appendix 2 : Consultation Response Analyses</w:t>
      </w:r>
      <w:bookmarkEnd w:id="67"/>
    </w:p>
    <w:p w:rsidR="000B64AF" w:rsidRPr="000B64AF" w:rsidRDefault="000B64AF" w:rsidP="000B64AF"/>
    <w:p w:rsidR="00B96F72" w:rsidRPr="00B96F72" w:rsidRDefault="00B96F72" w:rsidP="00B96F72">
      <w:pPr>
        <w:autoSpaceDE w:val="0"/>
        <w:autoSpaceDN w:val="0"/>
        <w:adjustRightInd w:val="0"/>
        <w:spacing w:before="100" w:beforeAutospacing="1" w:after="100" w:afterAutospacing="1"/>
        <w:rPr>
          <w:rFonts w:asciiTheme="minorHAnsi" w:hAnsiTheme="minorHAnsi" w:cstheme="minorHAnsi"/>
          <w:sz w:val="36"/>
          <w:szCs w:val="36"/>
          <w:lang w:eastAsia="en-GB"/>
        </w:rPr>
      </w:pPr>
      <w:r w:rsidRPr="0067694B">
        <w:rPr>
          <w:rFonts w:ascii="Trebuchet MS" w:hAnsi="Trebuchet MS" w:cs="Verdana"/>
          <w:noProof/>
          <w:lang w:eastAsia="en-GB"/>
        </w:rPr>
        <w:drawing>
          <wp:inline distT="0" distB="0" distL="0" distR="0" wp14:anchorId="25BF8CB2" wp14:editId="40855E28">
            <wp:extent cx="5731510" cy="16802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1680210"/>
                    </a:xfrm>
                    <a:prstGeom prst="rect">
                      <a:avLst/>
                    </a:prstGeom>
                    <a:noFill/>
                    <a:ln>
                      <a:noFill/>
                    </a:ln>
                  </pic:spPr>
                </pic:pic>
              </a:graphicData>
            </a:graphic>
          </wp:inline>
        </w:drawing>
      </w:r>
    </w:p>
    <w:p w:rsidR="00B96F72" w:rsidRPr="00B96F72" w:rsidRDefault="00B96F72" w:rsidP="00B96F72">
      <w:pPr>
        <w:autoSpaceDE w:val="0"/>
        <w:autoSpaceDN w:val="0"/>
        <w:adjustRightInd w:val="0"/>
        <w:spacing w:before="100" w:beforeAutospacing="1" w:after="100" w:afterAutospacing="1"/>
        <w:rPr>
          <w:rFonts w:asciiTheme="minorHAnsi" w:hAnsiTheme="minorHAnsi" w:cstheme="minorHAnsi"/>
          <w:sz w:val="36"/>
          <w:szCs w:val="36"/>
          <w:lang w:eastAsia="en-GB"/>
        </w:rPr>
      </w:pPr>
    </w:p>
    <w:p w:rsidR="00B13304" w:rsidRPr="00B13304" w:rsidRDefault="00B13304" w:rsidP="00B13304">
      <w:pPr>
        <w:autoSpaceDE w:val="0"/>
        <w:autoSpaceDN w:val="0"/>
        <w:adjustRightInd w:val="0"/>
        <w:spacing w:before="100" w:beforeAutospacing="1" w:after="100" w:afterAutospacing="1"/>
        <w:rPr>
          <w:rFonts w:asciiTheme="minorHAnsi" w:hAnsiTheme="minorHAnsi" w:cstheme="minorHAnsi"/>
          <w:sz w:val="36"/>
          <w:szCs w:val="36"/>
          <w:lang w:eastAsia="en-GB"/>
        </w:rPr>
      </w:pPr>
    </w:p>
    <w:p w:rsidR="00B13304" w:rsidRPr="00B13304" w:rsidRDefault="00B13304" w:rsidP="00B13304">
      <w:pPr>
        <w:autoSpaceDE w:val="0"/>
        <w:autoSpaceDN w:val="0"/>
        <w:adjustRightInd w:val="0"/>
        <w:spacing w:before="240" w:after="240"/>
        <w:ind w:right="-330"/>
        <w:rPr>
          <w:rFonts w:asciiTheme="minorHAnsi" w:eastAsiaTheme="minorHAnsi" w:hAnsiTheme="minorHAnsi" w:cstheme="minorHAnsi"/>
          <w:b/>
          <w:color w:val="0070C0"/>
          <w:sz w:val="64"/>
          <w:szCs w:val="64"/>
          <w:lang w:eastAsia="en-GB"/>
        </w:rPr>
      </w:pPr>
      <w:r w:rsidRPr="00B13304">
        <w:rPr>
          <w:rFonts w:asciiTheme="minorHAnsi" w:hAnsiTheme="minorHAnsi" w:cstheme="minorHAnsi"/>
          <w:b/>
          <w:color w:val="0070C0"/>
          <w:sz w:val="64"/>
          <w:szCs w:val="64"/>
          <w:lang w:eastAsia="en-GB"/>
        </w:rPr>
        <w:t>Consultation Response Analyses</w:t>
      </w:r>
    </w:p>
    <w:p w:rsidR="00B13304" w:rsidRPr="00B13304" w:rsidRDefault="00B13304" w:rsidP="00B13304">
      <w:pPr>
        <w:autoSpaceDE w:val="0"/>
        <w:autoSpaceDN w:val="0"/>
        <w:adjustRightInd w:val="0"/>
        <w:spacing w:before="240" w:after="240"/>
        <w:rPr>
          <w:rFonts w:asciiTheme="minorHAnsi" w:hAnsiTheme="minorHAnsi" w:cstheme="minorHAnsi"/>
          <w:b/>
          <w:color w:val="0070C0"/>
          <w:sz w:val="40"/>
          <w:szCs w:val="40"/>
          <w:lang w:eastAsia="en-GB"/>
        </w:rPr>
      </w:pPr>
      <w:r w:rsidRPr="00B13304">
        <w:rPr>
          <w:rFonts w:asciiTheme="minorHAnsi" w:hAnsiTheme="minorHAnsi" w:cstheme="minorHAnsi"/>
          <w:b/>
          <w:color w:val="0070C0"/>
          <w:sz w:val="40"/>
          <w:szCs w:val="40"/>
          <w:lang w:eastAsia="en-GB"/>
        </w:rPr>
        <w:t xml:space="preserve">for the </w:t>
      </w:r>
    </w:p>
    <w:p w:rsidR="00B13304" w:rsidRPr="00B13304" w:rsidRDefault="00B13304" w:rsidP="00B13304">
      <w:pPr>
        <w:autoSpaceDE w:val="0"/>
        <w:autoSpaceDN w:val="0"/>
        <w:adjustRightInd w:val="0"/>
        <w:spacing w:before="240" w:after="240"/>
        <w:ind w:right="-329"/>
        <w:rPr>
          <w:rFonts w:asciiTheme="minorHAnsi" w:hAnsiTheme="minorHAnsi" w:cstheme="minorHAnsi"/>
          <w:b/>
          <w:color w:val="0070C0"/>
          <w:sz w:val="56"/>
          <w:szCs w:val="56"/>
          <w:lang w:eastAsia="en-GB"/>
        </w:rPr>
      </w:pPr>
      <w:r w:rsidRPr="00B13304">
        <w:rPr>
          <w:rFonts w:asciiTheme="minorHAnsi" w:hAnsiTheme="minorHAnsi" w:cstheme="minorHAnsi"/>
          <w:b/>
          <w:color w:val="0070C0"/>
          <w:sz w:val="56"/>
          <w:szCs w:val="56"/>
          <w:lang w:eastAsia="en-GB"/>
        </w:rPr>
        <w:t xml:space="preserve">Issues and Strategic Options, and </w:t>
      </w:r>
      <w:r w:rsidRPr="00B13304">
        <w:rPr>
          <w:rFonts w:asciiTheme="minorHAnsi" w:eastAsiaTheme="minorHAnsi" w:hAnsiTheme="minorHAnsi" w:cstheme="minorHAnsi"/>
          <w:b/>
          <w:color w:val="0070C0"/>
          <w:sz w:val="56"/>
          <w:szCs w:val="56"/>
          <w:lang w:eastAsia="en-GB"/>
        </w:rPr>
        <w:t>Preferred Scale and Distribution of Development</w:t>
      </w:r>
    </w:p>
    <w:p w:rsidR="00B13304" w:rsidRPr="00B13304" w:rsidRDefault="00B13304" w:rsidP="00B13304">
      <w:pPr>
        <w:autoSpaceDE w:val="0"/>
        <w:autoSpaceDN w:val="0"/>
        <w:adjustRightInd w:val="0"/>
        <w:spacing w:before="240" w:after="240"/>
        <w:ind w:right="-330"/>
        <w:rPr>
          <w:rFonts w:asciiTheme="minorHAnsi" w:hAnsiTheme="minorHAnsi" w:cstheme="minorHAnsi"/>
          <w:b/>
          <w:color w:val="0070C0"/>
          <w:sz w:val="40"/>
          <w:szCs w:val="40"/>
          <w:lang w:eastAsia="en-GB"/>
        </w:rPr>
      </w:pPr>
      <w:r w:rsidRPr="00B13304">
        <w:rPr>
          <w:rFonts w:asciiTheme="minorHAnsi" w:hAnsiTheme="minorHAnsi" w:cstheme="minorHAnsi"/>
          <w:b/>
          <w:color w:val="0070C0"/>
          <w:sz w:val="40"/>
          <w:szCs w:val="40"/>
          <w:lang w:eastAsia="en-GB"/>
        </w:rPr>
        <w:t xml:space="preserve">stages of the </w:t>
      </w:r>
    </w:p>
    <w:p w:rsidR="00B13304" w:rsidRPr="00B13304" w:rsidRDefault="00B13304" w:rsidP="00B13304">
      <w:pPr>
        <w:autoSpaceDE w:val="0"/>
        <w:autoSpaceDN w:val="0"/>
        <w:adjustRightInd w:val="0"/>
        <w:spacing w:before="100" w:beforeAutospacing="1" w:after="100" w:afterAutospacing="1"/>
        <w:rPr>
          <w:rFonts w:asciiTheme="minorHAnsi" w:hAnsiTheme="minorHAnsi" w:cstheme="minorHAnsi"/>
          <w:b/>
          <w:color w:val="0070C0"/>
          <w:sz w:val="56"/>
          <w:szCs w:val="56"/>
          <w:lang w:eastAsia="en-GB"/>
        </w:rPr>
      </w:pPr>
      <w:r w:rsidRPr="00B13304">
        <w:rPr>
          <w:rFonts w:asciiTheme="minorHAnsi" w:hAnsiTheme="minorHAnsi" w:cstheme="minorHAnsi"/>
          <w:b/>
          <w:color w:val="0070C0"/>
          <w:sz w:val="56"/>
          <w:szCs w:val="56"/>
          <w:lang w:eastAsia="en-GB"/>
        </w:rPr>
        <w:t>Shropshire Local Plan Review</w:t>
      </w:r>
    </w:p>
    <w:p w:rsidR="00B13304" w:rsidRPr="00B13304" w:rsidRDefault="00B13304" w:rsidP="00B13304">
      <w:pPr>
        <w:autoSpaceDE w:val="0"/>
        <w:autoSpaceDN w:val="0"/>
        <w:adjustRightInd w:val="0"/>
        <w:spacing w:before="100" w:beforeAutospacing="1" w:after="100" w:afterAutospacing="1"/>
        <w:rPr>
          <w:rFonts w:asciiTheme="minorHAnsi" w:hAnsiTheme="minorHAnsi" w:cstheme="minorHAnsi"/>
          <w:b/>
          <w:color w:val="0070C0"/>
          <w:sz w:val="56"/>
          <w:szCs w:val="56"/>
          <w:lang w:eastAsia="en-GB"/>
        </w:rPr>
      </w:pPr>
    </w:p>
    <w:p w:rsidR="00B13304" w:rsidRPr="00B13304" w:rsidRDefault="00B13304" w:rsidP="00B13304">
      <w:pPr>
        <w:autoSpaceDE w:val="0"/>
        <w:autoSpaceDN w:val="0"/>
        <w:adjustRightInd w:val="0"/>
        <w:spacing w:before="100" w:beforeAutospacing="1" w:after="100" w:afterAutospacing="1"/>
        <w:rPr>
          <w:rFonts w:asciiTheme="minorHAnsi" w:hAnsiTheme="minorHAnsi" w:cstheme="minorHAnsi"/>
          <w:sz w:val="56"/>
          <w:szCs w:val="56"/>
          <w:lang w:eastAsia="en-GB"/>
        </w:rPr>
      </w:pPr>
    </w:p>
    <w:p w:rsidR="00B13304" w:rsidRPr="00B13304" w:rsidRDefault="00B13304" w:rsidP="00B13304">
      <w:pPr>
        <w:autoSpaceDE w:val="0"/>
        <w:autoSpaceDN w:val="0"/>
        <w:adjustRightInd w:val="0"/>
        <w:spacing w:before="100" w:beforeAutospacing="1" w:after="100" w:afterAutospacing="1"/>
        <w:rPr>
          <w:rFonts w:ascii="Trebuchet MS" w:hAnsi="Trebuchet MS" w:cs="Verdana"/>
          <w:b/>
          <w:sz w:val="40"/>
          <w:szCs w:val="40"/>
          <w:lang w:eastAsia="en-GB"/>
        </w:rPr>
      </w:pPr>
      <w:r w:rsidRPr="00B13304">
        <w:rPr>
          <w:rFonts w:asciiTheme="minorHAnsi" w:hAnsiTheme="minorHAnsi" w:cstheme="minorHAnsi"/>
          <w:b/>
          <w:color w:val="0070C0"/>
          <w:sz w:val="40"/>
          <w:szCs w:val="40"/>
          <w:lang w:eastAsia="en-GB"/>
        </w:rPr>
        <w:t>July 2018</w:t>
      </w:r>
      <w:r w:rsidRPr="00B13304">
        <w:rPr>
          <w:rFonts w:ascii="Trebuchet MS" w:hAnsi="Trebuchet MS" w:cs="Verdana"/>
          <w:b/>
          <w:sz w:val="40"/>
          <w:szCs w:val="40"/>
          <w:lang w:eastAsia="en-GB"/>
        </w:rPr>
        <w:br w:type="page"/>
      </w:r>
    </w:p>
    <w:sdt>
      <w:sdtPr>
        <w:rPr>
          <w:rFonts w:asciiTheme="minorHAnsi" w:hAnsiTheme="minorHAnsi" w:cstheme="minorHAnsi"/>
        </w:rPr>
        <w:id w:val="1537851713"/>
        <w:docPartObj>
          <w:docPartGallery w:val="Table of Contents"/>
          <w:docPartUnique/>
        </w:docPartObj>
      </w:sdtPr>
      <w:sdtEndPr>
        <w:rPr>
          <w:b/>
          <w:bCs/>
          <w:noProof/>
        </w:rPr>
      </w:sdtEndPr>
      <w:sdtContent>
        <w:p w:rsidR="00B13304" w:rsidRPr="00B13304" w:rsidRDefault="00B13304" w:rsidP="00B13304">
          <w:pPr>
            <w:keepNext/>
            <w:keepLines/>
            <w:spacing w:before="240" w:after="240" w:line="259" w:lineRule="auto"/>
            <w:rPr>
              <w:rFonts w:asciiTheme="minorHAnsi" w:eastAsiaTheme="majorEastAsia" w:hAnsiTheme="minorHAnsi" w:cstheme="minorHAnsi"/>
              <w:color w:val="365F91" w:themeColor="accent1" w:themeShade="BF"/>
              <w:sz w:val="36"/>
              <w:szCs w:val="36"/>
              <w:lang w:val="en-US"/>
            </w:rPr>
          </w:pPr>
          <w:r w:rsidRPr="00B13304">
            <w:rPr>
              <w:rFonts w:asciiTheme="minorHAnsi" w:eastAsiaTheme="majorEastAsia" w:hAnsiTheme="minorHAnsi" w:cstheme="minorHAnsi"/>
              <w:b/>
              <w:color w:val="365F91" w:themeColor="accent1" w:themeShade="BF"/>
              <w:sz w:val="36"/>
              <w:szCs w:val="36"/>
              <w:lang w:val="en-US"/>
            </w:rPr>
            <w:t>Contents</w:t>
          </w:r>
        </w:p>
        <w:p w:rsidR="00B13304" w:rsidRPr="006E2612" w:rsidRDefault="00B13304" w:rsidP="00B13304">
          <w:pPr>
            <w:tabs>
              <w:tab w:val="right" w:leader="dot" w:pos="9016"/>
            </w:tabs>
            <w:spacing w:before="240" w:after="240"/>
            <w:ind w:left="238"/>
            <w:rPr>
              <w:rFonts w:asciiTheme="minorHAnsi" w:eastAsiaTheme="minorEastAsia" w:hAnsiTheme="minorHAnsi" w:cstheme="minorHAnsi"/>
              <w:b/>
              <w:noProof/>
              <w:color w:val="000000" w:themeColor="text1"/>
              <w:sz w:val="22"/>
              <w:szCs w:val="22"/>
              <w:lang w:eastAsia="en-GB"/>
            </w:rPr>
          </w:pPr>
          <w:r w:rsidRPr="00B13304">
            <w:rPr>
              <w:rFonts w:asciiTheme="minorHAnsi" w:hAnsiTheme="minorHAnsi" w:cstheme="minorHAnsi"/>
            </w:rPr>
            <w:fldChar w:fldCharType="begin"/>
          </w:r>
          <w:r w:rsidRPr="00B13304">
            <w:rPr>
              <w:rFonts w:asciiTheme="minorHAnsi" w:hAnsiTheme="minorHAnsi" w:cstheme="minorHAnsi"/>
            </w:rPr>
            <w:instrText xml:space="preserve"> TOC \o "1-3" \h \z \u </w:instrText>
          </w:r>
          <w:r w:rsidRPr="00B13304">
            <w:rPr>
              <w:rFonts w:asciiTheme="minorHAnsi" w:hAnsiTheme="minorHAnsi" w:cstheme="minorHAnsi"/>
            </w:rPr>
            <w:fldChar w:fldCharType="separate"/>
          </w:r>
          <w:hyperlink w:anchor="_Toc517888042" w:history="1">
            <w:r w:rsidRPr="006E2612">
              <w:rPr>
                <w:rFonts w:asciiTheme="minorHAnsi" w:hAnsiTheme="minorHAnsi" w:cstheme="minorHAnsi"/>
                <w:b/>
                <w:noProof/>
                <w:color w:val="000000" w:themeColor="text1"/>
                <w:lang w:eastAsia="en-GB"/>
              </w:rPr>
              <w:t>Introduction</w:t>
            </w:r>
            <w:r w:rsidRPr="006E2612">
              <w:rPr>
                <w:rFonts w:asciiTheme="minorHAnsi" w:hAnsiTheme="minorHAnsi" w:cstheme="minorHAnsi"/>
                <w:b/>
                <w:noProof/>
                <w:webHidden/>
                <w:color w:val="000000" w:themeColor="text1"/>
              </w:rPr>
              <w:tab/>
            </w:r>
            <w:r w:rsidRPr="006E2612">
              <w:rPr>
                <w:rFonts w:asciiTheme="minorHAnsi" w:hAnsiTheme="minorHAnsi" w:cstheme="minorHAnsi"/>
                <w:b/>
                <w:noProof/>
                <w:webHidden/>
                <w:color w:val="000000" w:themeColor="text1"/>
              </w:rPr>
              <w:fldChar w:fldCharType="begin"/>
            </w:r>
            <w:r w:rsidRPr="006E2612">
              <w:rPr>
                <w:rFonts w:asciiTheme="minorHAnsi" w:hAnsiTheme="minorHAnsi" w:cstheme="minorHAnsi"/>
                <w:b/>
                <w:noProof/>
                <w:webHidden/>
                <w:color w:val="000000" w:themeColor="text1"/>
              </w:rPr>
              <w:instrText xml:space="preserve"> PAGEREF _Toc517888042 \h </w:instrText>
            </w:r>
            <w:r w:rsidRPr="006E2612">
              <w:rPr>
                <w:rFonts w:asciiTheme="minorHAnsi" w:hAnsiTheme="minorHAnsi" w:cstheme="minorHAnsi"/>
                <w:b/>
                <w:noProof/>
                <w:webHidden/>
                <w:color w:val="000000" w:themeColor="text1"/>
              </w:rPr>
            </w:r>
            <w:r w:rsidRPr="006E2612">
              <w:rPr>
                <w:rFonts w:asciiTheme="minorHAnsi" w:hAnsiTheme="minorHAnsi" w:cstheme="minorHAnsi"/>
                <w:b/>
                <w:noProof/>
                <w:webHidden/>
                <w:color w:val="000000" w:themeColor="text1"/>
              </w:rPr>
              <w:fldChar w:fldCharType="separate"/>
            </w:r>
            <w:r w:rsidR="00275A50">
              <w:rPr>
                <w:rFonts w:asciiTheme="minorHAnsi" w:hAnsiTheme="minorHAnsi" w:cstheme="minorHAnsi"/>
                <w:b/>
                <w:noProof/>
                <w:webHidden/>
                <w:color w:val="000000" w:themeColor="text1"/>
              </w:rPr>
              <w:t>74</w:t>
            </w:r>
            <w:r w:rsidRPr="006E2612">
              <w:rPr>
                <w:rFonts w:asciiTheme="minorHAnsi" w:hAnsiTheme="minorHAnsi" w:cstheme="minorHAnsi"/>
                <w:b/>
                <w:noProof/>
                <w:webHidden/>
                <w:color w:val="000000" w:themeColor="text1"/>
              </w:rPr>
              <w:fldChar w:fldCharType="end"/>
            </w:r>
          </w:hyperlink>
        </w:p>
        <w:p w:rsidR="00B13304" w:rsidRPr="006E2612" w:rsidRDefault="00B04729" w:rsidP="00B13304">
          <w:pPr>
            <w:tabs>
              <w:tab w:val="right" w:leader="dot" w:pos="9016"/>
            </w:tabs>
            <w:spacing w:before="240" w:after="240"/>
            <w:ind w:left="238"/>
            <w:rPr>
              <w:rFonts w:asciiTheme="minorHAnsi" w:eastAsiaTheme="minorEastAsia" w:hAnsiTheme="minorHAnsi" w:cstheme="minorHAnsi"/>
              <w:b/>
              <w:noProof/>
              <w:color w:val="000000" w:themeColor="text1"/>
              <w:sz w:val="22"/>
              <w:szCs w:val="22"/>
              <w:lang w:eastAsia="en-GB"/>
            </w:rPr>
          </w:pPr>
          <w:hyperlink w:anchor="_Toc517888043" w:history="1">
            <w:r w:rsidR="00B13304" w:rsidRPr="006E2612">
              <w:rPr>
                <w:rFonts w:asciiTheme="minorHAnsi" w:hAnsiTheme="minorHAnsi" w:cstheme="minorHAnsi"/>
                <w:b/>
                <w:noProof/>
                <w:color w:val="000000" w:themeColor="text1"/>
                <w:lang w:eastAsia="en-GB"/>
              </w:rPr>
              <w:t>Shropshire Council’s Consultation Summaries</w:t>
            </w:r>
            <w:r w:rsidR="00B13304" w:rsidRPr="006E2612">
              <w:rPr>
                <w:rFonts w:asciiTheme="minorHAnsi" w:hAnsiTheme="minorHAnsi" w:cstheme="minorHAnsi"/>
                <w:b/>
                <w:noProof/>
                <w:webHidden/>
                <w:color w:val="000000" w:themeColor="text1"/>
              </w:rPr>
              <w:tab/>
            </w:r>
            <w:r w:rsidR="00B13304" w:rsidRPr="006E2612">
              <w:rPr>
                <w:rFonts w:asciiTheme="minorHAnsi" w:hAnsiTheme="minorHAnsi" w:cstheme="minorHAnsi"/>
                <w:b/>
                <w:noProof/>
                <w:webHidden/>
                <w:color w:val="000000" w:themeColor="text1"/>
              </w:rPr>
              <w:fldChar w:fldCharType="begin"/>
            </w:r>
            <w:r w:rsidR="00B13304" w:rsidRPr="006E2612">
              <w:rPr>
                <w:rFonts w:asciiTheme="minorHAnsi" w:hAnsiTheme="minorHAnsi" w:cstheme="minorHAnsi"/>
                <w:b/>
                <w:noProof/>
                <w:webHidden/>
                <w:color w:val="000000" w:themeColor="text1"/>
              </w:rPr>
              <w:instrText xml:space="preserve"> PAGEREF _Toc517888043 \h </w:instrText>
            </w:r>
            <w:r w:rsidR="00B13304" w:rsidRPr="006E2612">
              <w:rPr>
                <w:rFonts w:asciiTheme="minorHAnsi" w:hAnsiTheme="minorHAnsi" w:cstheme="minorHAnsi"/>
                <w:b/>
                <w:noProof/>
                <w:webHidden/>
                <w:color w:val="000000" w:themeColor="text1"/>
              </w:rPr>
            </w:r>
            <w:r w:rsidR="00B13304" w:rsidRPr="006E2612">
              <w:rPr>
                <w:rFonts w:asciiTheme="minorHAnsi" w:hAnsiTheme="minorHAnsi" w:cstheme="minorHAnsi"/>
                <w:b/>
                <w:noProof/>
                <w:webHidden/>
                <w:color w:val="000000" w:themeColor="text1"/>
              </w:rPr>
              <w:fldChar w:fldCharType="separate"/>
            </w:r>
            <w:r w:rsidR="00275A50">
              <w:rPr>
                <w:rFonts w:asciiTheme="minorHAnsi" w:hAnsiTheme="minorHAnsi" w:cstheme="minorHAnsi"/>
                <w:b/>
                <w:noProof/>
                <w:webHidden/>
                <w:color w:val="000000" w:themeColor="text1"/>
              </w:rPr>
              <w:t>74</w:t>
            </w:r>
            <w:r w:rsidR="00B13304" w:rsidRPr="006E2612">
              <w:rPr>
                <w:rFonts w:asciiTheme="minorHAnsi" w:hAnsiTheme="minorHAnsi" w:cstheme="minorHAnsi"/>
                <w:b/>
                <w:noProof/>
                <w:webHidden/>
                <w:color w:val="000000" w:themeColor="text1"/>
              </w:rPr>
              <w:fldChar w:fldCharType="end"/>
            </w:r>
          </w:hyperlink>
        </w:p>
        <w:p w:rsidR="00B13304" w:rsidRPr="006E2612" w:rsidRDefault="00B04729" w:rsidP="00B13304">
          <w:pPr>
            <w:tabs>
              <w:tab w:val="right" w:leader="dot" w:pos="9016"/>
            </w:tabs>
            <w:spacing w:before="240" w:after="240"/>
            <w:ind w:left="238"/>
            <w:rPr>
              <w:rFonts w:asciiTheme="minorHAnsi" w:eastAsiaTheme="minorEastAsia" w:hAnsiTheme="minorHAnsi" w:cstheme="minorHAnsi"/>
              <w:b/>
              <w:noProof/>
              <w:color w:val="000000" w:themeColor="text1"/>
              <w:sz w:val="22"/>
              <w:szCs w:val="22"/>
              <w:lang w:eastAsia="en-GB"/>
            </w:rPr>
          </w:pPr>
          <w:hyperlink w:anchor="_Toc517888044" w:history="1">
            <w:r w:rsidR="00B13304" w:rsidRPr="006E2612">
              <w:rPr>
                <w:rFonts w:asciiTheme="minorHAnsi" w:hAnsiTheme="minorHAnsi" w:cstheme="minorHAnsi"/>
                <w:b/>
                <w:noProof/>
                <w:color w:val="000000" w:themeColor="text1"/>
                <w:lang w:eastAsia="en-GB"/>
              </w:rPr>
              <w:t>CPRE Shropshire further analysis</w:t>
            </w:r>
            <w:r w:rsidR="00B13304" w:rsidRPr="006E2612">
              <w:rPr>
                <w:rFonts w:asciiTheme="minorHAnsi" w:hAnsiTheme="minorHAnsi" w:cstheme="minorHAnsi"/>
                <w:b/>
                <w:noProof/>
                <w:webHidden/>
                <w:color w:val="000000" w:themeColor="text1"/>
              </w:rPr>
              <w:tab/>
            </w:r>
            <w:r w:rsidR="00B13304" w:rsidRPr="006E2612">
              <w:rPr>
                <w:rFonts w:asciiTheme="minorHAnsi" w:hAnsiTheme="minorHAnsi" w:cstheme="minorHAnsi"/>
                <w:b/>
                <w:noProof/>
                <w:webHidden/>
                <w:color w:val="000000" w:themeColor="text1"/>
              </w:rPr>
              <w:fldChar w:fldCharType="begin"/>
            </w:r>
            <w:r w:rsidR="00B13304" w:rsidRPr="006E2612">
              <w:rPr>
                <w:rFonts w:asciiTheme="minorHAnsi" w:hAnsiTheme="minorHAnsi" w:cstheme="minorHAnsi"/>
                <w:b/>
                <w:noProof/>
                <w:webHidden/>
                <w:color w:val="000000" w:themeColor="text1"/>
              </w:rPr>
              <w:instrText xml:space="preserve"> PAGEREF _Toc517888044 \h </w:instrText>
            </w:r>
            <w:r w:rsidR="00B13304" w:rsidRPr="006E2612">
              <w:rPr>
                <w:rFonts w:asciiTheme="minorHAnsi" w:hAnsiTheme="minorHAnsi" w:cstheme="minorHAnsi"/>
                <w:b/>
                <w:noProof/>
                <w:webHidden/>
                <w:color w:val="000000" w:themeColor="text1"/>
              </w:rPr>
            </w:r>
            <w:r w:rsidR="00B13304" w:rsidRPr="006E2612">
              <w:rPr>
                <w:rFonts w:asciiTheme="minorHAnsi" w:hAnsiTheme="minorHAnsi" w:cstheme="minorHAnsi"/>
                <w:b/>
                <w:noProof/>
                <w:webHidden/>
                <w:color w:val="000000" w:themeColor="text1"/>
              </w:rPr>
              <w:fldChar w:fldCharType="separate"/>
            </w:r>
            <w:r w:rsidR="00275A50">
              <w:rPr>
                <w:rFonts w:asciiTheme="minorHAnsi" w:hAnsiTheme="minorHAnsi" w:cstheme="minorHAnsi"/>
                <w:b/>
                <w:noProof/>
                <w:webHidden/>
                <w:color w:val="000000" w:themeColor="text1"/>
              </w:rPr>
              <w:t>80</w:t>
            </w:r>
            <w:r w:rsidR="00B13304" w:rsidRPr="006E2612">
              <w:rPr>
                <w:rFonts w:asciiTheme="minorHAnsi" w:hAnsiTheme="minorHAnsi" w:cstheme="minorHAnsi"/>
                <w:b/>
                <w:noProof/>
                <w:webHidden/>
                <w:color w:val="000000" w:themeColor="text1"/>
              </w:rPr>
              <w:fldChar w:fldCharType="end"/>
            </w:r>
          </w:hyperlink>
        </w:p>
        <w:p w:rsidR="00B13304" w:rsidRPr="006E2612" w:rsidRDefault="00B04729" w:rsidP="00B13304">
          <w:pPr>
            <w:tabs>
              <w:tab w:val="right" w:leader="dot" w:pos="9016"/>
            </w:tabs>
            <w:spacing w:before="240" w:after="240"/>
            <w:ind w:left="238"/>
            <w:rPr>
              <w:rFonts w:asciiTheme="minorHAnsi" w:eastAsiaTheme="minorEastAsia" w:hAnsiTheme="minorHAnsi" w:cstheme="minorHAnsi"/>
              <w:b/>
              <w:noProof/>
              <w:color w:val="000000" w:themeColor="text1"/>
              <w:sz w:val="22"/>
              <w:szCs w:val="22"/>
              <w:lang w:eastAsia="en-GB"/>
            </w:rPr>
          </w:pPr>
          <w:hyperlink w:anchor="_Toc517888045" w:history="1">
            <w:r w:rsidR="00B13304" w:rsidRPr="006E2612">
              <w:rPr>
                <w:rFonts w:asciiTheme="minorHAnsi" w:hAnsiTheme="minorHAnsi" w:cstheme="minorHAnsi"/>
                <w:b/>
                <w:noProof/>
                <w:color w:val="000000" w:themeColor="text1"/>
                <w:lang w:eastAsia="en-GB"/>
              </w:rPr>
              <w:t>Results of CPRE Shropshire further analysis</w:t>
            </w:r>
            <w:r w:rsidR="00B13304" w:rsidRPr="006E2612">
              <w:rPr>
                <w:rFonts w:asciiTheme="minorHAnsi" w:hAnsiTheme="minorHAnsi" w:cstheme="minorHAnsi"/>
                <w:b/>
                <w:noProof/>
                <w:webHidden/>
                <w:color w:val="000000" w:themeColor="text1"/>
              </w:rPr>
              <w:tab/>
            </w:r>
            <w:r w:rsidR="00B13304" w:rsidRPr="006E2612">
              <w:rPr>
                <w:rFonts w:asciiTheme="minorHAnsi" w:hAnsiTheme="minorHAnsi" w:cstheme="minorHAnsi"/>
                <w:b/>
                <w:noProof/>
                <w:webHidden/>
                <w:color w:val="000000" w:themeColor="text1"/>
              </w:rPr>
              <w:fldChar w:fldCharType="begin"/>
            </w:r>
            <w:r w:rsidR="00B13304" w:rsidRPr="006E2612">
              <w:rPr>
                <w:rFonts w:asciiTheme="minorHAnsi" w:hAnsiTheme="minorHAnsi" w:cstheme="minorHAnsi"/>
                <w:b/>
                <w:noProof/>
                <w:webHidden/>
                <w:color w:val="000000" w:themeColor="text1"/>
              </w:rPr>
              <w:instrText xml:space="preserve"> PAGEREF _Toc517888045 \h </w:instrText>
            </w:r>
            <w:r w:rsidR="00B13304" w:rsidRPr="006E2612">
              <w:rPr>
                <w:rFonts w:asciiTheme="minorHAnsi" w:hAnsiTheme="minorHAnsi" w:cstheme="minorHAnsi"/>
                <w:b/>
                <w:noProof/>
                <w:webHidden/>
                <w:color w:val="000000" w:themeColor="text1"/>
              </w:rPr>
            </w:r>
            <w:r w:rsidR="00B13304" w:rsidRPr="006E2612">
              <w:rPr>
                <w:rFonts w:asciiTheme="minorHAnsi" w:hAnsiTheme="minorHAnsi" w:cstheme="minorHAnsi"/>
                <w:b/>
                <w:noProof/>
                <w:webHidden/>
                <w:color w:val="000000" w:themeColor="text1"/>
              </w:rPr>
              <w:fldChar w:fldCharType="separate"/>
            </w:r>
            <w:r w:rsidR="00275A50">
              <w:rPr>
                <w:rFonts w:asciiTheme="minorHAnsi" w:hAnsiTheme="minorHAnsi" w:cstheme="minorHAnsi"/>
                <w:b/>
                <w:noProof/>
                <w:webHidden/>
                <w:color w:val="000000" w:themeColor="text1"/>
              </w:rPr>
              <w:t>81</w:t>
            </w:r>
            <w:r w:rsidR="00B13304" w:rsidRPr="006E2612">
              <w:rPr>
                <w:rFonts w:asciiTheme="minorHAnsi" w:hAnsiTheme="minorHAnsi" w:cstheme="minorHAnsi"/>
                <w:b/>
                <w:noProof/>
                <w:webHidden/>
                <w:color w:val="000000" w:themeColor="text1"/>
              </w:rPr>
              <w:fldChar w:fldCharType="end"/>
            </w:r>
          </w:hyperlink>
        </w:p>
        <w:p w:rsidR="00B13304" w:rsidRPr="006E2612" w:rsidRDefault="00B04729" w:rsidP="00B13304">
          <w:pPr>
            <w:tabs>
              <w:tab w:val="right" w:leader="dot" w:pos="9016"/>
            </w:tabs>
            <w:spacing w:before="240" w:after="240"/>
            <w:ind w:left="238"/>
            <w:rPr>
              <w:rFonts w:asciiTheme="minorHAnsi" w:eastAsiaTheme="minorEastAsia" w:hAnsiTheme="minorHAnsi" w:cstheme="minorHAnsi"/>
              <w:b/>
              <w:noProof/>
              <w:color w:val="000000" w:themeColor="text1"/>
              <w:sz w:val="22"/>
              <w:szCs w:val="22"/>
              <w:lang w:eastAsia="en-GB"/>
            </w:rPr>
          </w:pPr>
          <w:hyperlink w:anchor="_Toc517888046" w:history="1">
            <w:r w:rsidR="00B13304" w:rsidRPr="006E2612">
              <w:rPr>
                <w:rFonts w:asciiTheme="minorHAnsi" w:hAnsiTheme="minorHAnsi" w:cstheme="minorHAnsi"/>
                <w:b/>
                <w:noProof/>
                <w:color w:val="000000" w:themeColor="text1"/>
                <w:lang w:eastAsia="en-GB"/>
              </w:rPr>
              <w:t>Discussion</w:t>
            </w:r>
            <w:r w:rsidR="00B13304" w:rsidRPr="006E2612">
              <w:rPr>
                <w:rFonts w:asciiTheme="minorHAnsi" w:hAnsiTheme="minorHAnsi" w:cstheme="minorHAnsi"/>
                <w:b/>
                <w:noProof/>
                <w:webHidden/>
                <w:color w:val="000000" w:themeColor="text1"/>
              </w:rPr>
              <w:tab/>
            </w:r>
            <w:r w:rsidR="00B13304" w:rsidRPr="006E2612">
              <w:rPr>
                <w:rFonts w:asciiTheme="minorHAnsi" w:hAnsiTheme="minorHAnsi" w:cstheme="minorHAnsi"/>
                <w:b/>
                <w:noProof/>
                <w:webHidden/>
                <w:color w:val="000000" w:themeColor="text1"/>
              </w:rPr>
              <w:fldChar w:fldCharType="begin"/>
            </w:r>
            <w:r w:rsidR="00B13304" w:rsidRPr="006E2612">
              <w:rPr>
                <w:rFonts w:asciiTheme="minorHAnsi" w:hAnsiTheme="minorHAnsi" w:cstheme="minorHAnsi"/>
                <w:b/>
                <w:noProof/>
                <w:webHidden/>
                <w:color w:val="000000" w:themeColor="text1"/>
              </w:rPr>
              <w:instrText xml:space="preserve"> PAGEREF _Toc517888046 \h </w:instrText>
            </w:r>
            <w:r w:rsidR="00B13304" w:rsidRPr="006E2612">
              <w:rPr>
                <w:rFonts w:asciiTheme="minorHAnsi" w:hAnsiTheme="minorHAnsi" w:cstheme="minorHAnsi"/>
                <w:b/>
                <w:noProof/>
                <w:webHidden/>
                <w:color w:val="000000" w:themeColor="text1"/>
              </w:rPr>
            </w:r>
            <w:r w:rsidR="00B13304" w:rsidRPr="006E2612">
              <w:rPr>
                <w:rFonts w:asciiTheme="minorHAnsi" w:hAnsiTheme="minorHAnsi" w:cstheme="minorHAnsi"/>
                <w:b/>
                <w:noProof/>
                <w:webHidden/>
                <w:color w:val="000000" w:themeColor="text1"/>
              </w:rPr>
              <w:fldChar w:fldCharType="separate"/>
            </w:r>
            <w:r w:rsidR="00275A50">
              <w:rPr>
                <w:rFonts w:asciiTheme="minorHAnsi" w:hAnsiTheme="minorHAnsi" w:cstheme="minorHAnsi"/>
                <w:b/>
                <w:noProof/>
                <w:webHidden/>
                <w:color w:val="000000" w:themeColor="text1"/>
              </w:rPr>
              <w:t>85</w:t>
            </w:r>
            <w:r w:rsidR="00B13304" w:rsidRPr="006E2612">
              <w:rPr>
                <w:rFonts w:asciiTheme="minorHAnsi" w:hAnsiTheme="minorHAnsi" w:cstheme="minorHAnsi"/>
                <w:b/>
                <w:noProof/>
                <w:webHidden/>
                <w:color w:val="000000" w:themeColor="text1"/>
              </w:rPr>
              <w:fldChar w:fldCharType="end"/>
            </w:r>
          </w:hyperlink>
        </w:p>
        <w:p w:rsidR="00B13304" w:rsidRPr="006E2612" w:rsidRDefault="00B04729" w:rsidP="00B13304">
          <w:pPr>
            <w:tabs>
              <w:tab w:val="right" w:leader="dot" w:pos="9016"/>
            </w:tabs>
            <w:spacing w:before="240" w:after="240"/>
            <w:ind w:left="238"/>
            <w:rPr>
              <w:rFonts w:asciiTheme="minorHAnsi" w:eastAsiaTheme="minorEastAsia" w:hAnsiTheme="minorHAnsi" w:cstheme="minorHAnsi"/>
              <w:b/>
              <w:noProof/>
              <w:color w:val="000000" w:themeColor="text1"/>
              <w:sz w:val="22"/>
              <w:szCs w:val="22"/>
              <w:lang w:eastAsia="en-GB"/>
            </w:rPr>
          </w:pPr>
          <w:hyperlink w:anchor="_Toc517888047" w:history="1">
            <w:r w:rsidR="00B13304" w:rsidRPr="006E2612">
              <w:rPr>
                <w:rFonts w:asciiTheme="minorHAnsi" w:hAnsiTheme="minorHAnsi" w:cstheme="minorHAnsi"/>
                <w:b/>
                <w:noProof/>
                <w:color w:val="000000" w:themeColor="text1"/>
                <w:lang w:eastAsia="en-GB"/>
              </w:rPr>
              <w:t>Conclusion</w:t>
            </w:r>
            <w:r w:rsidR="00B13304" w:rsidRPr="006E2612">
              <w:rPr>
                <w:rFonts w:asciiTheme="minorHAnsi" w:hAnsiTheme="minorHAnsi" w:cstheme="minorHAnsi"/>
                <w:b/>
                <w:noProof/>
                <w:webHidden/>
                <w:color w:val="000000" w:themeColor="text1"/>
              </w:rPr>
              <w:tab/>
            </w:r>
            <w:r w:rsidR="00B13304" w:rsidRPr="006E2612">
              <w:rPr>
                <w:rFonts w:asciiTheme="minorHAnsi" w:hAnsiTheme="minorHAnsi" w:cstheme="minorHAnsi"/>
                <w:b/>
                <w:noProof/>
                <w:webHidden/>
                <w:color w:val="000000" w:themeColor="text1"/>
              </w:rPr>
              <w:fldChar w:fldCharType="begin"/>
            </w:r>
            <w:r w:rsidR="00B13304" w:rsidRPr="006E2612">
              <w:rPr>
                <w:rFonts w:asciiTheme="minorHAnsi" w:hAnsiTheme="minorHAnsi" w:cstheme="minorHAnsi"/>
                <w:b/>
                <w:noProof/>
                <w:webHidden/>
                <w:color w:val="000000" w:themeColor="text1"/>
              </w:rPr>
              <w:instrText xml:space="preserve"> PAGEREF _Toc517888047 \h </w:instrText>
            </w:r>
            <w:r w:rsidR="00B13304" w:rsidRPr="006E2612">
              <w:rPr>
                <w:rFonts w:asciiTheme="minorHAnsi" w:hAnsiTheme="minorHAnsi" w:cstheme="minorHAnsi"/>
                <w:b/>
                <w:noProof/>
                <w:webHidden/>
                <w:color w:val="000000" w:themeColor="text1"/>
              </w:rPr>
            </w:r>
            <w:r w:rsidR="00B13304" w:rsidRPr="006E2612">
              <w:rPr>
                <w:rFonts w:asciiTheme="minorHAnsi" w:hAnsiTheme="minorHAnsi" w:cstheme="minorHAnsi"/>
                <w:b/>
                <w:noProof/>
                <w:webHidden/>
                <w:color w:val="000000" w:themeColor="text1"/>
              </w:rPr>
              <w:fldChar w:fldCharType="separate"/>
            </w:r>
            <w:r w:rsidR="00275A50">
              <w:rPr>
                <w:rFonts w:asciiTheme="minorHAnsi" w:hAnsiTheme="minorHAnsi" w:cstheme="minorHAnsi"/>
                <w:b/>
                <w:noProof/>
                <w:webHidden/>
                <w:color w:val="000000" w:themeColor="text1"/>
              </w:rPr>
              <w:t>86</w:t>
            </w:r>
            <w:r w:rsidR="00B13304" w:rsidRPr="006E2612">
              <w:rPr>
                <w:rFonts w:asciiTheme="minorHAnsi" w:hAnsiTheme="minorHAnsi" w:cstheme="minorHAnsi"/>
                <w:b/>
                <w:noProof/>
                <w:webHidden/>
                <w:color w:val="000000" w:themeColor="text1"/>
              </w:rPr>
              <w:fldChar w:fldCharType="end"/>
            </w:r>
          </w:hyperlink>
        </w:p>
        <w:p w:rsidR="00B13304" w:rsidRPr="00B13304" w:rsidRDefault="00B04729" w:rsidP="00B13304">
          <w:pPr>
            <w:tabs>
              <w:tab w:val="right" w:leader="dot" w:pos="9016"/>
            </w:tabs>
            <w:spacing w:before="240" w:after="240"/>
            <w:ind w:left="238"/>
            <w:rPr>
              <w:rFonts w:asciiTheme="minorHAnsi" w:eastAsiaTheme="minorEastAsia" w:hAnsiTheme="minorHAnsi" w:cstheme="minorBidi"/>
              <w:noProof/>
              <w:sz w:val="22"/>
              <w:szCs w:val="22"/>
              <w:lang w:eastAsia="en-GB"/>
            </w:rPr>
          </w:pPr>
          <w:hyperlink w:anchor="_Toc517888048" w:history="1">
            <w:r w:rsidR="00B13304" w:rsidRPr="006E2612">
              <w:rPr>
                <w:rFonts w:asciiTheme="minorHAnsi" w:hAnsiTheme="minorHAnsi" w:cstheme="minorHAnsi"/>
                <w:b/>
                <w:noProof/>
                <w:color w:val="000000" w:themeColor="text1"/>
                <w:lang w:eastAsia="en-GB"/>
              </w:rPr>
              <w:t>Detailed methodology for further analysis of Consultation Responses</w:t>
            </w:r>
            <w:r w:rsidR="00B13304" w:rsidRPr="006E2612">
              <w:rPr>
                <w:rFonts w:asciiTheme="minorHAnsi" w:hAnsiTheme="minorHAnsi" w:cstheme="minorHAnsi"/>
                <w:b/>
                <w:noProof/>
                <w:webHidden/>
                <w:color w:val="000000" w:themeColor="text1"/>
              </w:rPr>
              <w:tab/>
            </w:r>
            <w:r w:rsidR="00B13304" w:rsidRPr="006E2612">
              <w:rPr>
                <w:rFonts w:asciiTheme="minorHAnsi" w:hAnsiTheme="minorHAnsi" w:cstheme="minorHAnsi"/>
                <w:b/>
                <w:noProof/>
                <w:webHidden/>
                <w:color w:val="000000" w:themeColor="text1"/>
              </w:rPr>
              <w:fldChar w:fldCharType="begin"/>
            </w:r>
            <w:r w:rsidR="00B13304" w:rsidRPr="006E2612">
              <w:rPr>
                <w:rFonts w:asciiTheme="minorHAnsi" w:hAnsiTheme="minorHAnsi" w:cstheme="minorHAnsi"/>
                <w:b/>
                <w:noProof/>
                <w:webHidden/>
                <w:color w:val="000000" w:themeColor="text1"/>
              </w:rPr>
              <w:instrText xml:space="preserve"> PAGEREF _Toc517888048 \h </w:instrText>
            </w:r>
            <w:r w:rsidR="00B13304" w:rsidRPr="006E2612">
              <w:rPr>
                <w:rFonts w:asciiTheme="minorHAnsi" w:hAnsiTheme="minorHAnsi" w:cstheme="minorHAnsi"/>
                <w:b/>
                <w:noProof/>
                <w:webHidden/>
                <w:color w:val="000000" w:themeColor="text1"/>
              </w:rPr>
            </w:r>
            <w:r w:rsidR="00B13304" w:rsidRPr="006E2612">
              <w:rPr>
                <w:rFonts w:asciiTheme="minorHAnsi" w:hAnsiTheme="minorHAnsi" w:cstheme="minorHAnsi"/>
                <w:b/>
                <w:noProof/>
                <w:webHidden/>
                <w:color w:val="000000" w:themeColor="text1"/>
              </w:rPr>
              <w:fldChar w:fldCharType="separate"/>
            </w:r>
            <w:r w:rsidR="00275A50">
              <w:rPr>
                <w:rFonts w:asciiTheme="minorHAnsi" w:hAnsiTheme="minorHAnsi" w:cstheme="minorHAnsi"/>
                <w:b/>
                <w:noProof/>
                <w:webHidden/>
                <w:color w:val="000000" w:themeColor="text1"/>
              </w:rPr>
              <w:t>88</w:t>
            </w:r>
            <w:r w:rsidR="00B13304" w:rsidRPr="006E2612">
              <w:rPr>
                <w:rFonts w:asciiTheme="minorHAnsi" w:hAnsiTheme="minorHAnsi" w:cstheme="minorHAnsi"/>
                <w:b/>
                <w:noProof/>
                <w:webHidden/>
                <w:color w:val="000000" w:themeColor="text1"/>
              </w:rPr>
              <w:fldChar w:fldCharType="end"/>
            </w:r>
          </w:hyperlink>
        </w:p>
        <w:p w:rsidR="00B13304" w:rsidRPr="00B13304" w:rsidRDefault="00B13304" w:rsidP="00B13304">
          <w:pPr>
            <w:spacing w:before="240" w:after="240"/>
            <w:rPr>
              <w:rFonts w:asciiTheme="minorHAnsi" w:hAnsiTheme="minorHAnsi" w:cstheme="minorHAnsi"/>
            </w:rPr>
          </w:pPr>
          <w:r w:rsidRPr="00B13304">
            <w:rPr>
              <w:rFonts w:asciiTheme="minorHAnsi" w:hAnsiTheme="minorHAnsi" w:cstheme="minorHAnsi"/>
              <w:b/>
              <w:bCs/>
              <w:noProof/>
            </w:rPr>
            <w:fldChar w:fldCharType="end"/>
          </w:r>
        </w:p>
      </w:sdtContent>
    </w:sdt>
    <w:p w:rsidR="00B13304" w:rsidRDefault="00B13304" w:rsidP="00B13304">
      <w:pPr>
        <w:autoSpaceDE w:val="0"/>
        <w:autoSpaceDN w:val="0"/>
        <w:adjustRightInd w:val="0"/>
        <w:spacing w:before="100" w:beforeAutospacing="1" w:after="100" w:afterAutospacing="1"/>
        <w:jc w:val="center"/>
        <w:rPr>
          <w:rFonts w:asciiTheme="minorHAnsi" w:hAnsiTheme="minorHAnsi" w:cstheme="minorHAnsi"/>
          <w:lang w:eastAsia="en-GB"/>
        </w:rPr>
      </w:pPr>
    </w:p>
    <w:p w:rsidR="00405D3F" w:rsidRPr="00B13304" w:rsidRDefault="00405D3F" w:rsidP="00B13304">
      <w:pPr>
        <w:autoSpaceDE w:val="0"/>
        <w:autoSpaceDN w:val="0"/>
        <w:adjustRightInd w:val="0"/>
        <w:spacing w:before="100" w:beforeAutospacing="1" w:after="100" w:afterAutospacing="1"/>
        <w:jc w:val="center"/>
        <w:rPr>
          <w:rFonts w:asciiTheme="minorHAnsi" w:hAnsiTheme="minorHAnsi" w:cstheme="minorHAnsi"/>
          <w:lang w:eastAsia="en-GB"/>
        </w:rPr>
      </w:pPr>
    </w:p>
    <w:p w:rsidR="00B13304" w:rsidRPr="00B13304" w:rsidRDefault="00405D3F" w:rsidP="00B13304">
      <w:pPr>
        <w:autoSpaceDE w:val="0"/>
        <w:autoSpaceDN w:val="0"/>
        <w:adjustRightInd w:val="0"/>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[For ease of reference, the page numbers above are those within this overall Regulation 19 response, not those within the original Consultation Response Analyses]</w:t>
      </w:r>
    </w:p>
    <w:p w:rsidR="00B13304" w:rsidRPr="00B13304" w:rsidRDefault="00B13304" w:rsidP="00B13304">
      <w:pPr>
        <w:autoSpaceDE w:val="0"/>
        <w:autoSpaceDN w:val="0"/>
        <w:adjustRightInd w:val="0"/>
        <w:spacing w:before="100" w:beforeAutospacing="1" w:after="100" w:afterAutospacing="1"/>
        <w:jc w:val="center"/>
        <w:rPr>
          <w:rFonts w:asciiTheme="minorHAnsi" w:hAnsiTheme="minorHAnsi" w:cstheme="minorHAnsi"/>
          <w:lang w:eastAsia="en-GB"/>
        </w:rPr>
      </w:pPr>
    </w:p>
    <w:p w:rsidR="00B13304" w:rsidRPr="00B13304" w:rsidRDefault="00B13304" w:rsidP="00B13304">
      <w:pPr>
        <w:autoSpaceDE w:val="0"/>
        <w:autoSpaceDN w:val="0"/>
        <w:adjustRightInd w:val="0"/>
        <w:spacing w:before="100" w:beforeAutospacing="1" w:after="100" w:afterAutospacing="1"/>
        <w:jc w:val="center"/>
        <w:rPr>
          <w:rFonts w:asciiTheme="minorHAnsi" w:hAnsiTheme="minorHAnsi" w:cstheme="minorHAnsi"/>
          <w:lang w:eastAsia="en-GB"/>
        </w:rPr>
        <w:sectPr w:rsidR="00B13304" w:rsidRPr="00B13304" w:rsidSect="00B13304">
          <w:headerReference w:type="even" r:id="rId37"/>
          <w:headerReference w:type="default" r:id="rId38"/>
          <w:footerReference w:type="even" r:id="rId39"/>
          <w:headerReference w:type="first" r:id="rId40"/>
          <w:footerReference w:type="first" r:id="rId41"/>
          <w:pgSz w:w="11906" w:h="16838" w:code="9"/>
          <w:pgMar w:top="1440" w:right="1440" w:bottom="851" w:left="1440" w:header="709" w:footer="567" w:gutter="0"/>
          <w:cols w:space="708"/>
          <w:docGrid w:linePitch="360"/>
        </w:sectPr>
      </w:pPr>
    </w:p>
    <w:p w:rsidR="00B13304" w:rsidRPr="0055456B" w:rsidRDefault="00B13304" w:rsidP="0055456B">
      <w:pPr>
        <w:rPr>
          <w:rFonts w:asciiTheme="minorHAnsi" w:eastAsiaTheme="majorEastAsia" w:hAnsiTheme="minorHAnsi" w:cstheme="minorHAnsi"/>
          <w:b/>
          <w:color w:val="0070C0"/>
          <w:sz w:val="36"/>
          <w:szCs w:val="36"/>
          <w:lang w:eastAsia="en-GB"/>
        </w:rPr>
      </w:pPr>
      <w:bookmarkStart w:id="68" w:name="_Toc517888042"/>
      <w:r w:rsidRPr="0055456B">
        <w:rPr>
          <w:rFonts w:asciiTheme="minorHAnsi" w:eastAsiaTheme="majorEastAsia" w:hAnsiTheme="minorHAnsi" w:cstheme="minorHAnsi"/>
          <w:b/>
          <w:color w:val="0070C0"/>
          <w:sz w:val="36"/>
          <w:szCs w:val="36"/>
          <w:lang w:eastAsia="en-GB"/>
        </w:rPr>
        <w:lastRenderedPageBreak/>
        <w:t>Introduction</w:t>
      </w:r>
      <w:bookmarkEnd w:id="68"/>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 xml:space="preserve">Shropshire Council has twice consulted on its Partial Review of the Local Plan and has twice published summaries of the results of those consultations.  Those summaries have stated only the overall figures from all respondents.  </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 xml:space="preserve">CPRE Shropshire suspected that those overall figures might be heavily skewed by submissions from landowners, developers and agents, and that the figures from members of the public, and from Town and Parish Councils, might paint a very different picture.  </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Shropshire Council has very kindly given CPRE Shropshire access to its spreadsheets containing the data from which its Consultation Summaries were derived.  CPRE Shropshire has therefore now been able to further analyse that data.</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Our concern is primarily the high housing targets that Shropshire Council prefers, so we have limited our further analysis to the consultation questions dealing with housing numbers.</w:t>
      </w:r>
    </w:p>
    <w:p w:rsidR="00B13304" w:rsidRPr="00B13304" w:rsidRDefault="00B13304" w:rsidP="0055456B">
      <w:pPr>
        <w:rPr>
          <w:rFonts w:asciiTheme="minorHAnsi" w:eastAsiaTheme="majorEastAsia" w:hAnsiTheme="minorHAnsi" w:cstheme="minorHAnsi"/>
          <w:b/>
          <w:color w:val="0070C0"/>
          <w:sz w:val="36"/>
          <w:szCs w:val="36"/>
          <w:lang w:eastAsia="en-GB"/>
        </w:rPr>
      </w:pPr>
      <w:bookmarkStart w:id="69" w:name="_Toc517888043"/>
      <w:r w:rsidRPr="00B13304">
        <w:rPr>
          <w:rFonts w:asciiTheme="minorHAnsi" w:eastAsiaTheme="majorEastAsia" w:hAnsiTheme="minorHAnsi" w:cstheme="minorHAnsi"/>
          <w:b/>
          <w:color w:val="0070C0"/>
          <w:sz w:val="36"/>
          <w:szCs w:val="36"/>
          <w:lang w:eastAsia="en-GB"/>
        </w:rPr>
        <w:t>Shropshire Council’s Consultation Summaries</w:t>
      </w:r>
      <w:bookmarkEnd w:id="69"/>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Shropshire Council consulted on the Issues and Strategic Options stage of its Local Plan Review from 23</w:t>
      </w:r>
      <w:r w:rsidRPr="00B13304">
        <w:rPr>
          <w:rFonts w:asciiTheme="minorHAnsi" w:eastAsiaTheme="minorHAnsi" w:hAnsiTheme="minorHAnsi" w:cstheme="minorHAnsi"/>
          <w:vertAlign w:val="superscript"/>
          <w:lang w:eastAsia="en-GB"/>
        </w:rPr>
        <w:t>rd</w:t>
      </w:r>
      <w:r w:rsidRPr="00B13304">
        <w:rPr>
          <w:rFonts w:asciiTheme="minorHAnsi" w:eastAsiaTheme="minorHAnsi" w:hAnsiTheme="minorHAnsi" w:cstheme="minorHAnsi"/>
          <w:lang w:eastAsia="en-GB"/>
        </w:rPr>
        <w:t xml:space="preserve"> January 2017 to 20</w:t>
      </w:r>
      <w:r w:rsidRPr="00B13304">
        <w:rPr>
          <w:rFonts w:asciiTheme="minorHAnsi" w:eastAsiaTheme="minorHAnsi" w:hAnsiTheme="minorHAnsi" w:cstheme="minorHAnsi"/>
          <w:vertAlign w:val="superscript"/>
          <w:lang w:eastAsia="en-GB"/>
        </w:rPr>
        <w:t>th</w:t>
      </w:r>
      <w:r w:rsidRPr="00B13304">
        <w:rPr>
          <w:rFonts w:asciiTheme="minorHAnsi" w:eastAsiaTheme="minorHAnsi" w:hAnsiTheme="minorHAnsi" w:cstheme="minorHAnsi"/>
          <w:lang w:eastAsia="en-GB"/>
        </w:rPr>
        <w:t xml:space="preserve"> March 2017.  It published a detailed Consultation Response Summary on that consultation on 14</w:t>
      </w:r>
      <w:r w:rsidRPr="00B13304">
        <w:rPr>
          <w:rFonts w:asciiTheme="minorHAnsi" w:eastAsiaTheme="minorHAnsi" w:hAnsiTheme="minorHAnsi" w:cstheme="minorHAnsi"/>
          <w:vertAlign w:val="superscript"/>
          <w:lang w:eastAsia="en-GB"/>
        </w:rPr>
        <w:t>th</w:t>
      </w:r>
      <w:r w:rsidRPr="00B13304">
        <w:rPr>
          <w:rFonts w:asciiTheme="minorHAnsi" w:eastAsiaTheme="minorHAnsi" w:hAnsiTheme="minorHAnsi" w:cstheme="minorHAnsi"/>
          <w:lang w:eastAsia="en-GB"/>
        </w:rPr>
        <w:t xml:space="preserve"> July 2017.</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It consulted on the Preferred Scale and Distribution of Development stage of the Local Plan Review from 27</w:t>
      </w:r>
      <w:r w:rsidRPr="00B13304">
        <w:rPr>
          <w:rFonts w:asciiTheme="minorHAnsi" w:eastAsiaTheme="minorHAnsi" w:hAnsiTheme="minorHAnsi" w:cstheme="minorHAnsi"/>
          <w:vertAlign w:val="superscript"/>
          <w:lang w:eastAsia="en-GB"/>
        </w:rPr>
        <w:t>th</w:t>
      </w:r>
      <w:r w:rsidRPr="00B13304">
        <w:rPr>
          <w:rFonts w:asciiTheme="minorHAnsi" w:eastAsiaTheme="minorHAnsi" w:hAnsiTheme="minorHAnsi" w:cstheme="minorHAnsi"/>
          <w:lang w:eastAsia="en-GB"/>
        </w:rPr>
        <w:t xml:space="preserve"> October 2017 to 22</w:t>
      </w:r>
      <w:r w:rsidRPr="00B13304">
        <w:rPr>
          <w:rFonts w:asciiTheme="minorHAnsi" w:eastAsiaTheme="minorHAnsi" w:hAnsiTheme="minorHAnsi" w:cstheme="minorHAnsi"/>
          <w:vertAlign w:val="superscript"/>
          <w:lang w:eastAsia="en-GB"/>
        </w:rPr>
        <w:t>nd</w:t>
      </w:r>
      <w:r w:rsidRPr="00B13304">
        <w:rPr>
          <w:rFonts w:asciiTheme="minorHAnsi" w:eastAsiaTheme="minorHAnsi" w:hAnsiTheme="minorHAnsi" w:cstheme="minorHAnsi"/>
          <w:lang w:eastAsia="en-GB"/>
        </w:rPr>
        <w:t xml:space="preserve"> December 2017 and released the detailed Consultation Response Summary on that consultation, dated April 2018, for the Cabinet meeting on 2</w:t>
      </w:r>
      <w:r w:rsidRPr="00B13304">
        <w:rPr>
          <w:rFonts w:asciiTheme="minorHAnsi" w:eastAsiaTheme="minorHAnsi" w:hAnsiTheme="minorHAnsi" w:cstheme="minorHAnsi"/>
          <w:vertAlign w:val="superscript"/>
          <w:lang w:eastAsia="en-GB"/>
        </w:rPr>
        <w:t>nd</w:t>
      </w:r>
      <w:r w:rsidRPr="00B13304">
        <w:rPr>
          <w:rFonts w:asciiTheme="minorHAnsi" w:eastAsiaTheme="minorHAnsi" w:hAnsiTheme="minorHAnsi" w:cstheme="minorHAnsi"/>
          <w:lang w:eastAsia="en-GB"/>
        </w:rPr>
        <w:t xml:space="preserve"> May 2018.</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rebuchet MS" w:eastAsiaTheme="minorHAnsi" w:hAnsi="Trebuchet MS" w:cs="Verdana"/>
          <w:sz w:val="22"/>
          <w:szCs w:val="22"/>
          <w:lang w:eastAsia="en-GB"/>
        </w:rPr>
      </w:pPr>
      <w:r w:rsidRPr="00B13304">
        <w:rPr>
          <w:rFonts w:asciiTheme="minorHAnsi" w:eastAsiaTheme="minorHAnsi" w:hAnsiTheme="minorHAnsi" w:cstheme="minorHAnsi"/>
          <w:lang w:eastAsia="en-GB"/>
        </w:rPr>
        <w:t>Both consultations asked a question about the housing requirement and the Council’s Consultation Response Summaries gave summaries of the responses.  We reproduce these overleaf.</w:t>
      </w:r>
      <w:r w:rsidRPr="00B13304">
        <w:rPr>
          <w:rFonts w:ascii="Trebuchet MS" w:eastAsiaTheme="minorHAnsi" w:hAnsi="Trebuchet MS" w:cs="Verdana"/>
          <w:sz w:val="22"/>
          <w:szCs w:val="22"/>
          <w:lang w:eastAsia="en-GB"/>
        </w:rPr>
        <w:br w:type="page"/>
      </w: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sz w:val="28"/>
          <w:szCs w:val="28"/>
          <w:lang w:eastAsia="en-GB"/>
        </w:rPr>
      </w:pPr>
      <w:r w:rsidRPr="00B13304">
        <w:rPr>
          <w:rFonts w:asciiTheme="minorHAnsi" w:hAnsiTheme="minorHAnsi" w:cstheme="minorHAnsi"/>
          <w:b/>
          <w:i/>
          <w:color w:val="0070C0"/>
          <w:sz w:val="28"/>
          <w:szCs w:val="28"/>
          <w:lang w:eastAsia="en-GB"/>
        </w:rPr>
        <w:lastRenderedPageBreak/>
        <w:t>Issues and Strategic Options</w:t>
      </w:r>
    </w:p>
    <w:p w:rsidR="00B13304" w:rsidRPr="00B13304" w:rsidRDefault="00B13304" w:rsidP="002427CD">
      <w:pPr>
        <w:numPr>
          <w:ilvl w:val="1"/>
          <w:numId w:val="2"/>
        </w:numPr>
        <w:autoSpaceDE w:val="0"/>
        <w:autoSpaceDN w:val="0"/>
        <w:adjustRightInd w:val="0"/>
        <w:spacing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For the Issues and Strategic Options the question was:</w:t>
      </w:r>
    </w:p>
    <w:p w:rsidR="00B13304" w:rsidRPr="00B13304" w:rsidRDefault="00B13304" w:rsidP="00B13304">
      <w:pPr>
        <w:autoSpaceDE w:val="0"/>
        <w:autoSpaceDN w:val="0"/>
        <w:adjustRightInd w:val="0"/>
        <w:spacing w:before="120" w:after="240" w:line="276" w:lineRule="auto"/>
        <w:ind w:left="567"/>
        <w:rPr>
          <w:rFonts w:ascii="Trebuchet MS" w:eastAsiaTheme="minorHAnsi" w:hAnsi="Trebuchet MS" w:cs="Verdana"/>
          <w:sz w:val="22"/>
          <w:szCs w:val="22"/>
          <w:lang w:eastAsia="en-GB"/>
        </w:rPr>
      </w:pPr>
      <w:r w:rsidRPr="00B13304">
        <w:rPr>
          <w:rFonts w:eastAsiaTheme="minorHAnsi" w:cstheme="minorBidi"/>
          <w:noProof/>
          <w:szCs w:val="22"/>
          <w:lang w:eastAsia="en-GB"/>
        </w:rPr>
        <w:drawing>
          <wp:inline distT="0" distB="0" distL="0" distR="0" wp14:anchorId="3F47E580" wp14:editId="443C3538">
            <wp:extent cx="4838700" cy="341855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0198" t="54587" r="42826" b="11530"/>
                    <a:stretch/>
                  </pic:blipFill>
                  <pic:spPr bwMode="auto">
                    <a:xfrm>
                      <a:off x="0" y="0"/>
                      <a:ext cx="5014355" cy="3542655"/>
                    </a:xfrm>
                    <a:prstGeom prst="rect">
                      <a:avLst/>
                    </a:prstGeom>
                    <a:ln>
                      <a:noFill/>
                    </a:ln>
                    <a:extLst>
                      <a:ext uri="{53640926-AAD7-44D8-BBD7-CCE9431645EC}">
                        <a14:shadowObscured xmlns:a14="http://schemas.microsoft.com/office/drawing/2010/main"/>
                      </a:ext>
                    </a:extLst>
                  </pic:spPr>
                </pic:pic>
              </a:graphicData>
            </a:graphic>
          </wp:inline>
        </w:drawing>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sz w:val="22"/>
          <w:szCs w:val="22"/>
          <w:lang w:eastAsia="en-GB"/>
        </w:rPr>
      </w:pPr>
      <w:r w:rsidRPr="00B13304">
        <w:rPr>
          <w:rFonts w:asciiTheme="minorHAnsi" w:eastAsiaTheme="minorHAnsi" w:hAnsiTheme="minorHAnsi" w:cstheme="minorHAnsi"/>
          <w:sz w:val="22"/>
          <w:szCs w:val="22"/>
          <w:lang w:eastAsia="en-GB"/>
        </w:rPr>
        <w:t>Shropshire Council’s summary of the responses in its Consultation Response Summary was:</w:t>
      </w:r>
    </w:p>
    <w:p w:rsidR="00B13304" w:rsidRPr="00B13304" w:rsidRDefault="00B13304" w:rsidP="00B13304">
      <w:pPr>
        <w:autoSpaceDE w:val="0"/>
        <w:autoSpaceDN w:val="0"/>
        <w:adjustRightInd w:val="0"/>
        <w:spacing w:after="120"/>
        <w:ind w:left="993"/>
        <w:rPr>
          <w:rFonts w:ascii="Arial" w:eastAsiaTheme="minorHAnsi" w:hAnsi="Arial" w:cs="Arial"/>
          <w:i/>
          <w:color w:val="000000"/>
          <w:sz w:val="20"/>
          <w:szCs w:val="20"/>
        </w:rPr>
      </w:pPr>
      <w:r w:rsidRPr="00B13304">
        <w:rPr>
          <w:rFonts w:ascii="Arial" w:eastAsiaTheme="minorHAnsi" w:hAnsi="Arial" w:cs="Arial"/>
          <w:b/>
          <w:bCs/>
          <w:i/>
          <w:color w:val="000000"/>
          <w:sz w:val="20"/>
          <w:szCs w:val="20"/>
        </w:rPr>
        <w:t xml:space="preserve">Question 4 </w:t>
      </w:r>
      <w:r w:rsidRPr="00B13304">
        <w:rPr>
          <w:rFonts w:ascii="Arial" w:eastAsiaTheme="minorHAnsi" w:hAnsi="Arial" w:cs="Arial"/>
          <w:i/>
          <w:color w:val="000000"/>
          <w:sz w:val="20"/>
          <w:szCs w:val="20"/>
        </w:rPr>
        <w:t xml:space="preserve">sought views on overall housing requirement options between 2016 and 2036. In total 327 respondents expressed an opinion on this question. Of those who responded 47% favoured the ‘Moderate Growth’ option equating to 26,250 dwellings over the Plan period; 12% favoured the ‘Significant Growth’ option equating to 27,500 dwellings; 32% responses favoured the ‘High Growth’ option equating to 28,750 dwellings; and 9% responding did not choose an option. </w:t>
      </w:r>
    </w:p>
    <w:p w:rsidR="00B13304" w:rsidRPr="00B13304" w:rsidRDefault="00B13304" w:rsidP="00B13304">
      <w:p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Of those favouring ‘Moderate Growth’ (Option 1):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A number of responses considered this option most closely equated to current development trends.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A consistent theme was the need to address local needs, and in particular to support development of affordable and low cost housing in rural areas, ahead of encouraging further in-migration.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provision of timely infrastructure was discussed in several responses, with respondents citing the difficulty in delivering new infrastructure, particularly with higher growth options.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need for some additional development in the rural area was a feature of several responses, although other responses argued that rural areas lacked sufficient public transport.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There was also concern expressed about the loss of rural space and the need to protect the environment. Others suggested that making the best use of brownfield sites and existing premises should be prioritised. </w:t>
      </w:r>
    </w:p>
    <w:p w:rsidR="00B13304" w:rsidRPr="00B13304" w:rsidRDefault="00B13304" w:rsidP="002427CD">
      <w:pPr>
        <w:numPr>
          <w:ilvl w:val="0"/>
          <w:numId w:val="3"/>
        </w:numPr>
        <w:autoSpaceDE w:val="0"/>
        <w:autoSpaceDN w:val="0"/>
        <w:adjustRightInd w:val="0"/>
        <w:spacing w:after="12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Other respondents questioned the deliverability of higher growth options. </w:t>
      </w:r>
    </w:p>
    <w:p w:rsidR="00B13304" w:rsidRPr="00B13304" w:rsidRDefault="00B13304" w:rsidP="00B13304">
      <w:pPr>
        <w:autoSpaceDE w:val="0"/>
        <w:autoSpaceDN w:val="0"/>
        <w:adjustRightInd w:val="0"/>
        <w:spacing w:before="240" w:after="60"/>
        <w:ind w:left="993"/>
        <w:rPr>
          <w:rFonts w:ascii="Arial" w:hAnsi="Arial" w:cs="Arial"/>
          <w:i/>
          <w:color w:val="000000"/>
          <w:sz w:val="20"/>
          <w:szCs w:val="20"/>
        </w:rPr>
      </w:pPr>
      <w:r w:rsidRPr="00B13304">
        <w:rPr>
          <w:rFonts w:ascii="Arial" w:hAnsi="Arial" w:cs="Arial"/>
          <w:i/>
          <w:color w:val="000000"/>
          <w:sz w:val="20"/>
          <w:szCs w:val="20"/>
        </w:rPr>
        <w:t xml:space="preserve">Fewer respondents supported ‘Significant Growth’ (Option 2) compared with the other two options. Of those who did support this option: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lastRenderedPageBreak/>
        <w:t xml:space="preserve">There was concern expressed about whether the lower housing option (Option 1) would meet needs. </w:t>
      </w:r>
    </w:p>
    <w:p w:rsidR="00B13304" w:rsidRPr="00B13304" w:rsidRDefault="00B13304" w:rsidP="002427CD">
      <w:pPr>
        <w:numPr>
          <w:ilvl w:val="0"/>
          <w:numId w:val="3"/>
        </w:numPr>
        <w:autoSpaceDE w:val="0"/>
        <w:autoSpaceDN w:val="0"/>
        <w:adjustRightInd w:val="0"/>
        <w:spacing w:after="12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It was accepted that with this option the proposed requirement would be deliverable and would promote the delivery of towns whilst protecting assets, such as the Shropshire Hills AONB. </w:t>
      </w:r>
    </w:p>
    <w:p w:rsidR="00B13304" w:rsidRPr="00B13304" w:rsidRDefault="00B13304" w:rsidP="00B13304">
      <w:pPr>
        <w:autoSpaceDE w:val="0"/>
        <w:autoSpaceDN w:val="0"/>
        <w:adjustRightInd w:val="0"/>
        <w:spacing w:before="240"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Of those respondents who supported ‘High Growth’ (Option 3):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A number of respondents pointed out that the proposed annual requirement for this option represented less growth than projected for the second half of the current Core Strategy plan period.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It was also suggested that expected adjustments in the manner in which the FOAHN is calculated would likely lead to a higher housing need for the County. </w:t>
      </w:r>
    </w:p>
    <w:p w:rsidR="00B13304" w:rsidRPr="00B13304" w:rsidRDefault="00B13304" w:rsidP="002427CD">
      <w:pPr>
        <w:numPr>
          <w:ilvl w:val="0"/>
          <w:numId w:val="3"/>
        </w:numPr>
        <w:autoSpaceDE w:val="0"/>
        <w:autoSpaceDN w:val="0"/>
        <w:adjustRightInd w:val="0"/>
        <w:spacing w:after="12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It was argued by several respondents that this option presented the greatest degree of flexibility in providing a range of site allocations and would support inward investment. </w:t>
      </w:r>
    </w:p>
    <w:p w:rsidR="00B13304" w:rsidRPr="00B13304" w:rsidRDefault="00B13304" w:rsidP="00B13304">
      <w:pPr>
        <w:autoSpaceDE w:val="0"/>
        <w:autoSpaceDN w:val="0"/>
        <w:adjustRightInd w:val="0"/>
        <w:spacing w:before="240" w:after="120"/>
        <w:ind w:left="993"/>
        <w:rPr>
          <w:rFonts w:ascii="Arial" w:hAnsi="Arial" w:cs="Arial"/>
          <w:i/>
          <w:color w:val="000000"/>
          <w:sz w:val="20"/>
          <w:szCs w:val="20"/>
        </w:rPr>
      </w:pPr>
      <w:r w:rsidRPr="00B13304">
        <w:rPr>
          <w:rFonts w:ascii="Arial" w:hAnsi="Arial" w:cs="Arial"/>
          <w:i/>
          <w:color w:val="000000"/>
          <w:sz w:val="20"/>
          <w:szCs w:val="20"/>
        </w:rPr>
        <w:t>A number of other comments provided contrasting views on the validity of all the options, primarily based upon alternative suggestions about the housing need for the area; several thinking there should have been a lower option and several thinking the highest option did not go far enough.</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From this Issues and Strategic Options consultation Shropshire Council identified 412 unique respondents. Of those, 85 made no response at all to Question 4, and 28 responded “Don't know / no opinion”.  As noted by Shropshire Council, the percentages at paragraph 9 above are based on the 327 respondents who expressed an opinion on Question 4.  If instead, the results are based on all 412 unique respondents, then they can be summarised as follows:</w:t>
      </w:r>
    </w:p>
    <w:p w:rsidR="00B13304" w:rsidRPr="00B13304" w:rsidRDefault="00B13304" w:rsidP="00B13304">
      <w:pPr>
        <w:autoSpaceDE w:val="0"/>
        <w:autoSpaceDN w:val="0"/>
        <w:adjustRightInd w:val="0"/>
        <w:spacing w:before="240" w:line="276" w:lineRule="auto"/>
        <w:rPr>
          <w:rFonts w:ascii="Trebuchet MS" w:eastAsiaTheme="minorHAnsi" w:hAnsi="Trebuchet MS" w:cs="Verdana"/>
          <w:sz w:val="22"/>
          <w:szCs w:val="22"/>
          <w:lang w:eastAsia="en-GB"/>
        </w:rPr>
      </w:pPr>
      <w:r w:rsidRPr="00B13304">
        <w:rPr>
          <w:rFonts w:eastAsiaTheme="minorHAnsi" w:cstheme="minorBidi"/>
          <w:noProof/>
          <w:szCs w:val="22"/>
          <w:lang w:eastAsia="en-GB"/>
        </w:rPr>
        <w:drawing>
          <wp:inline distT="0" distB="0" distL="0" distR="0" wp14:anchorId="54D27764" wp14:editId="293B0D33">
            <wp:extent cx="4476750" cy="3552825"/>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13304" w:rsidRPr="00B13304" w:rsidRDefault="00B13304" w:rsidP="00B13304">
      <w:pPr>
        <w:autoSpaceDE w:val="0"/>
        <w:autoSpaceDN w:val="0"/>
        <w:adjustRightInd w:val="0"/>
        <w:rPr>
          <w:rFonts w:asciiTheme="minorHAnsi" w:hAnsiTheme="minorHAnsi" w:cstheme="minorHAnsi"/>
          <w:lang w:eastAsia="en-GB"/>
        </w:rPr>
      </w:pPr>
      <w:r w:rsidRPr="00B13304">
        <w:rPr>
          <w:rFonts w:asciiTheme="minorHAnsi" w:hAnsiTheme="minorHAnsi" w:cstheme="minorHAnsi"/>
          <w:lang w:eastAsia="en-GB"/>
        </w:rPr>
        <w:t>In Adrian Cooper’s report to Cabinet dated 21</w:t>
      </w:r>
      <w:r w:rsidRPr="00B13304">
        <w:rPr>
          <w:rFonts w:asciiTheme="minorHAnsi" w:hAnsiTheme="minorHAnsi" w:cstheme="minorHAnsi"/>
          <w:vertAlign w:val="superscript"/>
          <w:lang w:eastAsia="en-GB"/>
        </w:rPr>
        <w:t>st</w:t>
      </w:r>
      <w:r w:rsidRPr="00B13304">
        <w:rPr>
          <w:rFonts w:asciiTheme="minorHAnsi" w:hAnsiTheme="minorHAnsi" w:cstheme="minorHAnsi"/>
          <w:lang w:eastAsia="en-GB"/>
        </w:rPr>
        <w:t xml:space="preserve"> June 2017 this result is characterised as : </w:t>
      </w:r>
      <w:r w:rsidRPr="00B13304">
        <w:rPr>
          <w:rFonts w:asciiTheme="minorHAnsi" w:hAnsiTheme="minorHAnsi" w:cstheme="minorHAnsi"/>
          <w:i/>
          <w:lang w:eastAsia="en-GB"/>
        </w:rPr>
        <w:t>“Whilst there was a slight preference for the ‘moderate’ growth option, there was also a good level of support for ‘high’ levels of housing growth”</w:t>
      </w:r>
      <w:r w:rsidRPr="00B13304">
        <w:rPr>
          <w:rFonts w:asciiTheme="minorHAnsi" w:hAnsiTheme="minorHAnsi" w:cstheme="minorHAnsi"/>
          <w:lang w:eastAsia="en-GB"/>
        </w:rPr>
        <w:t>.</w:t>
      </w:r>
    </w:p>
    <w:p w:rsidR="00B13304" w:rsidRPr="00B13304" w:rsidRDefault="00B13304" w:rsidP="00B13304">
      <w:pPr>
        <w:keepNext/>
        <w:autoSpaceDE w:val="0"/>
        <w:autoSpaceDN w:val="0"/>
        <w:adjustRightInd w:val="0"/>
        <w:spacing w:before="240" w:after="120" w:line="276" w:lineRule="auto"/>
        <w:rPr>
          <w:rFonts w:asciiTheme="minorHAnsi" w:hAnsiTheme="minorHAnsi" w:cstheme="minorHAnsi"/>
          <w:b/>
          <w:i/>
          <w:color w:val="0070C0"/>
          <w:sz w:val="28"/>
          <w:szCs w:val="28"/>
          <w:lang w:eastAsia="en-GB"/>
        </w:rPr>
      </w:pPr>
      <w:r w:rsidRPr="00B13304">
        <w:rPr>
          <w:rFonts w:asciiTheme="minorHAnsi" w:hAnsiTheme="minorHAnsi" w:cstheme="minorHAnsi"/>
          <w:b/>
          <w:i/>
          <w:color w:val="0070C0"/>
          <w:sz w:val="28"/>
          <w:szCs w:val="28"/>
          <w:lang w:eastAsia="en-GB"/>
        </w:rPr>
        <w:lastRenderedPageBreak/>
        <w:t>Preferred Scale and Distribution of Development</w:t>
      </w:r>
    </w:p>
    <w:p w:rsidR="00B13304" w:rsidRPr="00B13304" w:rsidRDefault="00B13304" w:rsidP="002427CD">
      <w:pPr>
        <w:numPr>
          <w:ilvl w:val="1"/>
          <w:numId w:val="2"/>
        </w:numPr>
        <w:autoSpaceDE w:val="0"/>
        <w:autoSpaceDN w:val="0"/>
        <w:adjustRightInd w:val="0"/>
        <w:spacing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For the Preferred Scale and Distribution of Development the question was:</w:t>
      </w:r>
    </w:p>
    <w:p w:rsidR="00B13304" w:rsidRPr="00B13304" w:rsidRDefault="00B13304" w:rsidP="00B13304">
      <w:pPr>
        <w:autoSpaceDE w:val="0"/>
        <w:autoSpaceDN w:val="0"/>
        <w:adjustRightInd w:val="0"/>
        <w:spacing w:before="240" w:after="120" w:line="276" w:lineRule="auto"/>
        <w:ind w:left="567"/>
        <w:rPr>
          <w:rFonts w:ascii="Trebuchet MS" w:hAnsi="Trebuchet MS" w:cs="Verdana"/>
          <w:sz w:val="22"/>
          <w:lang w:eastAsia="en-GB"/>
        </w:rPr>
      </w:pPr>
      <w:r w:rsidRPr="00B13304">
        <w:rPr>
          <w:noProof/>
          <w:lang w:eastAsia="en-GB"/>
        </w:rPr>
        <w:drawing>
          <wp:inline distT="0" distB="0" distL="0" distR="0" wp14:anchorId="59761725" wp14:editId="2262DA6F">
            <wp:extent cx="5535930" cy="20023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9016" t="21318" r="41799" b="59914"/>
                    <a:stretch/>
                  </pic:blipFill>
                  <pic:spPr bwMode="auto">
                    <a:xfrm>
                      <a:off x="0" y="0"/>
                      <a:ext cx="5730964" cy="2072902"/>
                    </a:xfrm>
                    <a:prstGeom prst="rect">
                      <a:avLst/>
                    </a:prstGeom>
                    <a:ln>
                      <a:noFill/>
                    </a:ln>
                    <a:extLst>
                      <a:ext uri="{53640926-AAD7-44D8-BBD7-CCE9431645EC}">
                        <a14:shadowObscured xmlns:a14="http://schemas.microsoft.com/office/drawing/2010/main"/>
                      </a:ext>
                    </a:extLst>
                  </pic:spPr>
                </pic:pic>
              </a:graphicData>
            </a:graphic>
          </wp:inline>
        </w:drawing>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Shropshire Council’s summary of the responses in its Consultation Response Summary was:</w:t>
      </w:r>
    </w:p>
    <w:p w:rsidR="00B13304" w:rsidRPr="00B13304" w:rsidRDefault="00B13304" w:rsidP="00B13304">
      <w:pPr>
        <w:autoSpaceDE w:val="0"/>
        <w:autoSpaceDN w:val="0"/>
        <w:adjustRightInd w:val="0"/>
        <w:ind w:left="993"/>
        <w:rPr>
          <w:rFonts w:ascii="Arial" w:eastAsiaTheme="minorHAnsi" w:hAnsi="Arial" w:cs="Arial"/>
          <w:i/>
          <w:color w:val="000000"/>
          <w:sz w:val="20"/>
          <w:szCs w:val="20"/>
        </w:rPr>
      </w:pPr>
      <w:r w:rsidRPr="00B13304">
        <w:rPr>
          <w:rFonts w:ascii="Arial" w:eastAsiaTheme="minorHAnsi" w:hAnsi="Arial" w:cs="Arial"/>
          <w:b/>
          <w:bCs/>
          <w:i/>
          <w:color w:val="000000"/>
          <w:sz w:val="20"/>
          <w:szCs w:val="20"/>
        </w:rPr>
        <w:t xml:space="preserve">Question 3 </w:t>
      </w:r>
      <w:r w:rsidRPr="00B13304">
        <w:rPr>
          <w:rFonts w:ascii="Arial" w:eastAsiaTheme="minorHAnsi" w:hAnsi="Arial" w:cs="Arial"/>
          <w:i/>
          <w:color w:val="000000"/>
          <w:sz w:val="20"/>
          <w:szCs w:val="20"/>
        </w:rPr>
        <w:t xml:space="preserve">sought views on the preferred ‘high growth’ housing requirement between 2016 and 2036, equivalent to around 28,750 dwellings over the Plan period. In seeking views the Council provided information on current levels of planning commitments and completions in the first year of the Plan period (2016-2017), and how this would affect the amount of additional housing needing to be planned for and delivered up to 2036. </w:t>
      </w:r>
    </w:p>
    <w:p w:rsidR="00B13304" w:rsidRPr="00B13304" w:rsidRDefault="00B13304" w:rsidP="00B13304">
      <w:pPr>
        <w:autoSpaceDE w:val="0"/>
        <w:autoSpaceDN w:val="0"/>
        <w:adjustRightInd w:val="0"/>
        <w:spacing w:before="120"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In summary the preferred housing requirement is made up from the following: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Overall requirement 2016-2036: around 28,750 dwellings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Completions 2016/17: 1,910 dwellings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Undeveloped planning permissions and prior approvals at 31st March 2017: 11,465 dwellings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SAMDev Allocations without planning permission at 31st March 2017: 5,028 dwellings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b/>
          <w:bCs/>
          <w:i/>
          <w:color w:val="000000"/>
          <w:sz w:val="20"/>
          <w:szCs w:val="20"/>
        </w:rPr>
        <w:t xml:space="preserve">Number of new dwellings required: 10,347 </w:t>
      </w:r>
    </w:p>
    <w:p w:rsidR="00B13304" w:rsidRPr="00B13304" w:rsidRDefault="00B13304" w:rsidP="00B13304">
      <w:pPr>
        <w:autoSpaceDE w:val="0"/>
        <w:autoSpaceDN w:val="0"/>
        <w:adjustRightInd w:val="0"/>
        <w:spacing w:before="24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The Council received a good mix of views from a variety of respondents, ranging from members of the public, parish and town councils, developers, agents and local interest groups. A small majority of respondents indicated a preference to see a different housing requirement, with the majority of these views expressing a desire to see a lower figure. A significant minority of responses supported the Council’s preferred approach.</w:t>
      </w:r>
    </w:p>
    <w:p w:rsidR="00B13304" w:rsidRPr="00B13304" w:rsidRDefault="00B13304" w:rsidP="00B13304">
      <w:pPr>
        <w:autoSpaceDE w:val="0"/>
        <w:autoSpaceDN w:val="0"/>
        <w:adjustRightInd w:val="0"/>
        <w:spacing w:before="24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[In the Cabinet report the summary for Housing Requirement stated:</w:t>
      </w:r>
    </w:p>
    <w:p w:rsidR="00B13304" w:rsidRPr="00B13304" w:rsidRDefault="00B13304" w:rsidP="00B13304">
      <w:pPr>
        <w:autoSpaceDE w:val="0"/>
        <w:autoSpaceDN w:val="0"/>
        <w:adjustRightInd w:val="0"/>
        <w:ind w:left="1276"/>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Council received a good mix of views. A small majority stated their preference to see a lower housing requirement, whilst others saw greater benefit in supporting the preferred approach, even suggesting a higher requirement. Those respondents supporting the preferred approach noted that it is consistent with the Government’s commitment to improving the rate of housing delivery and would provide the greatest opportunity to address housing affordability, together with improvements to economic activity and productivity, increased education opportunities and up-skilling of communities. Other respondents were concerned that the preferred approach did not reflect the views of the majority of respondents to the previous consultation and that there was inadequate infrastructure to meet demand from new development. Some respondents were concerned that it was unclear how individual settlement guidelines have been derived and on what evidence they are based. An explanation of the status and contribution of ‘strategic sites’ such as Ironbridge Power Station and any ‘Garden Villages’ was requested, in particular whether housing and </w:t>
      </w:r>
      <w:r w:rsidRPr="00B13304">
        <w:rPr>
          <w:rFonts w:ascii="Arial" w:eastAsiaTheme="minorHAnsi" w:hAnsi="Arial" w:cs="Arial"/>
          <w:i/>
          <w:color w:val="000000"/>
          <w:sz w:val="20"/>
          <w:szCs w:val="20"/>
        </w:rPr>
        <w:lastRenderedPageBreak/>
        <w:t>employment provided on these sites will be part of, or in addition to the levels for the rural area.]</w:t>
      </w:r>
    </w:p>
    <w:p w:rsidR="00B13304" w:rsidRPr="00B13304" w:rsidRDefault="00B13304" w:rsidP="00B13304">
      <w:pPr>
        <w:keepNext/>
        <w:autoSpaceDE w:val="0"/>
        <w:autoSpaceDN w:val="0"/>
        <w:adjustRightInd w:val="0"/>
        <w:spacing w:before="120" w:after="60"/>
        <w:ind w:left="992"/>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key issues raised by those respondents that supported the preferred approach were: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preferred housing requirement is in line with the National Planning Policy Framework’s aim of achieving sustainable development, and in particular the Government’s commitment to improving the rate of housing delivery.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preferred ‘high’ housing requirement would have the greatest opportunity to address housing affordability, especially for younger families.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preferred approach will support improvements to economic activity and productivity, supporting an increase to the labour force, increase education opportunities and up-skilling of communities. </w:t>
      </w:r>
    </w:p>
    <w:p w:rsidR="00B13304" w:rsidRPr="00B13304" w:rsidRDefault="00B13304" w:rsidP="00B13304">
      <w:pPr>
        <w:autoSpaceDE w:val="0"/>
        <w:autoSpaceDN w:val="0"/>
        <w:adjustRightInd w:val="0"/>
        <w:spacing w:before="240"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The key issues raised by those respondents that did not support the proposed preferred approach were: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Concern that the preferred housing requirement was not in line with the view of the majority of respondents at the Issues and Options consultation stage in January 2017, who supported the ‘moderate’ growth option (26,250 dwellings). This was a consistent message coming from several respondents.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Concern over the ability for infrastructure to meet the demands from new development. This was a consistent message coming from several respondents. Specific comments related to the need to support additional education, health, highway, public transport, rail and sports provision.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Several respondents felt the proposed requirement is unrealistic and felt that a failure to deliver the necessary build-out rates would undermine the ability of the Council to continue to demonstrate a five year housing land supply against the ‘high’ housing provision.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Concern over the validity of Shropshire’s housing need expressed in the Full Objectively Assessed Housing Need (FOAHN). Several respondents felt both the Council’s approach and the Government’s recently published methodology exaggerate the true ‘need’ in the County. On a related issue, several respondents queried how the impact of the UK leaving the European Union would have on the availability of jobs and certainty over growth expectations.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Several felt there was insufficient evidence to support the Council’s preferred requirement above the defined housing need. Specifically there was also concern that the high completions rates experienced in the County over the last two years are unlikely to be reflective of likely longer term trends. Others felt the expectation of economic growth is unrealistic outside Shrewsbury.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Concern expressed over the potential for adverse environmental impacts resulting from the ‘high’ growth option. Specific comments also related to the impact this could have on the Shropshire Hill Area of Outstanding Natural Beauty (AONB) and the Green Belt.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Other respondents, who generally favoured the Council’s preferred approach, indicated they would like to see a discount applied to some current planning commitments to reflect the potential of non-delivery on some sites. Responses on this matter ranged from suggestion of between 2% and 20% as an appropriate level of discount.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Whilst many respondents who disagreed with the preferred approach suggested a lower figure, others felt that a higher housing requirement would be more sustainable. Across the responses suggested figures ranged from 15,000 to 32,000 dwellings as alternative preferences. Some of those respondents suggesting a higher requirement pointed to the potential opportunity for Shropshire to accommodate ‘overspill’ housing from the Greater Birmingham and Black Country area, if required. Several respondents argued that the housing requirement should not be treated as a ‘ceiling’.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Others raised concern that insufficient thought had been given to securing the right homes in the right places, in particular how the county could attract working age people into the county to support employment opportunities and balanced growth.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lastRenderedPageBreak/>
        <w:t xml:space="preserve">Several respondents suggested the need to prioritise brownfield land, including the potential for infill and ‘above the shop’ living to be utilised to mitigate the need to develop greenfield land. </w:t>
      </w:r>
    </w:p>
    <w:p w:rsidR="00B13304" w:rsidRPr="00B13304" w:rsidRDefault="00B13304" w:rsidP="00B13304">
      <w:pPr>
        <w:autoSpaceDE w:val="0"/>
        <w:autoSpaceDN w:val="0"/>
        <w:adjustRightInd w:val="0"/>
        <w:spacing w:before="240"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Other comments about the preferred approach included: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Important for communities to have a say on the type of housing being planned for in their area.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Clarification needed on how the identified strategic sites at Tern Hill (Clive Barracks) and the former Ironbridge Power Station site relate to the overall housing requirement.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Consideration should be given to using empty homes more effectively. </w:t>
      </w:r>
    </w:p>
    <w:p w:rsidR="00B13304" w:rsidRPr="00B13304" w:rsidRDefault="00B13304" w:rsidP="002427CD">
      <w:pPr>
        <w:numPr>
          <w:ilvl w:val="0"/>
          <w:numId w:val="3"/>
        </w:numPr>
        <w:autoSpaceDE w:val="0"/>
        <w:autoSpaceDN w:val="0"/>
        <w:adjustRightInd w:val="0"/>
        <w:spacing w:after="60"/>
        <w:ind w:left="993"/>
        <w:rPr>
          <w:rFonts w:ascii="Arial" w:eastAsiaTheme="minorHAnsi" w:hAnsi="Arial" w:cs="Arial"/>
          <w:color w:val="000000"/>
          <w:sz w:val="20"/>
          <w:szCs w:val="20"/>
        </w:rPr>
      </w:pPr>
      <w:r w:rsidRPr="00B13304">
        <w:rPr>
          <w:rFonts w:ascii="Arial" w:eastAsiaTheme="minorHAnsi" w:hAnsi="Arial" w:cs="Arial"/>
          <w:i/>
          <w:color w:val="000000"/>
          <w:sz w:val="20"/>
          <w:szCs w:val="20"/>
        </w:rPr>
        <w:t>Better quality amenities are required for future residents</w:t>
      </w:r>
      <w:r w:rsidRPr="00B13304">
        <w:rPr>
          <w:rFonts w:ascii="Arial" w:eastAsiaTheme="minorHAnsi" w:hAnsi="Arial" w:cs="Arial"/>
          <w:color w:val="000000"/>
          <w:sz w:val="20"/>
          <w:szCs w:val="20"/>
        </w:rPr>
        <w:t xml:space="preserve">. </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i/>
          <w:lang w:eastAsia="en-GB"/>
        </w:rPr>
        <w:t>“Appendix 1: Respondent Statistics”</w:t>
      </w:r>
      <w:r w:rsidRPr="00B13304">
        <w:rPr>
          <w:rFonts w:asciiTheme="minorHAnsi" w:eastAsiaTheme="minorHAnsi" w:hAnsiTheme="minorHAnsi" w:cstheme="minorHAnsi"/>
          <w:lang w:eastAsia="en-GB"/>
        </w:rPr>
        <w:t xml:space="preserve"> of the Consultation Summary reported the percentage responses, as follows:</w:t>
      </w:r>
    </w:p>
    <w:p w:rsidR="00B13304" w:rsidRPr="00B13304" w:rsidRDefault="00B13304" w:rsidP="00B13304">
      <w:pPr>
        <w:autoSpaceDE w:val="0"/>
        <w:autoSpaceDN w:val="0"/>
        <w:adjustRightInd w:val="0"/>
        <w:spacing w:after="240"/>
        <w:ind w:left="993"/>
        <w:rPr>
          <w:rFonts w:ascii="Arial" w:eastAsiaTheme="minorHAnsi" w:hAnsi="Arial" w:cs="Arial"/>
          <w:i/>
          <w:color w:val="000000"/>
          <w:sz w:val="20"/>
          <w:szCs w:val="20"/>
        </w:rPr>
      </w:pPr>
      <w:r w:rsidRPr="00B13304">
        <w:rPr>
          <w:rFonts w:ascii="Arial" w:eastAsiaTheme="minorHAnsi" w:hAnsi="Arial" w:cs="Arial"/>
          <w:b/>
          <w:bCs/>
          <w:i/>
          <w:color w:val="000000"/>
          <w:sz w:val="20"/>
          <w:szCs w:val="20"/>
        </w:rPr>
        <w:t xml:space="preserve">Question 3 </w:t>
      </w:r>
      <w:r w:rsidRPr="00B13304">
        <w:rPr>
          <w:rFonts w:ascii="Arial" w:eastAsiaTheme="minorHAnsi" w:hAnsi="Arial" w:cs="Arial"/>
          <w:i/>
          <w:color w:val="000000"/>
          <w:sz w:val="20"/>
          <w:szCs w:val="20"/>
        </w:rPr>
        <w:t xml:space="preserve">sought views on the preferred housing requirement proposed for Shropshire of 28,750 dwellings between 2016 and 2036 (1,430 dwellings a year). </w:t>
      </w:r>
    </w:p>
    <w:p w:rsidR="00B13304" w:rsidRPr="00B13304" w:rsidRDefault="00B13304" w:rsidP="00B13304">
      <w:pPr>
        <w:autoSpaceDE w:val="0"/>
        <w:autoSpaceDN w:val="0"/>
        <w:adjustRightInd w:val="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Of the unique respondents that completed this question: </w:t>
      </w:r>
    </w:p>
    <w:p w:rsidR="00B13304" w:rsidRPr="00B13304" w:rsidRDefault="00B13304" w:rsidP="00B13304">
      <w:pPr>
        <w:autoSpaceDE w:val="0"/>
        <w:autoSpaceDN w:val="0"/>
        <w:adjustRightInd w:val="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42% agreed with the proposed housing guideline. </w:t>
      </w:r>
    </w:p>
    <w:p w:rsidR="00B13304" w:rsidRPr="00B13304" w:rsidRDefault="00B13304" w:rsidP="00B13304">
      <w:pPr>
        <w:autoSpaceDE w:val="0"/>
        <w:autoSpaceDN w:val="0"/>
        <w:adjustRightInd w:val="0"/>
        <w:ind w:left="993"/>
        <w:rPr>
          <w:rFonts w:ascii="Arial" w:eastAsiaTheme="minorHAnsi" w:hAnsi="Arial" w:cs="Arial"/>
          <w:i/>
          <w:color w:val="000000"/>
          <w:sz w:val="20"/>
          <w:szCs w:val="20"/>
        </w:rPr>
      </w:pPr>
      <w:r w:rsidRPr="00B13304">
        <w:rPr>
          <w:rFonts w:ascii="Arial" w:eastAsiaTheme="minorHAnsi" w:hAnsi="Arial" w:cs="Arial"/>
          <w:i/>
          <w:color w:val="000000"/>
          <w:sz w:val="20"/>
          <w:szCs w:val="20"/>
        </w:rPr>
        <w:t xml:space="preserve">45% disagreed with the proposed housing guideline. </w:t>
      </w:r>
    </w:p>
    <w:p w:rsidR="00B13304" w:rsidRPr="00B13304" w:rsidRDefault="00B13304" w:rsidP="00B13304">
      <w:pPr>
        <w:autoSpaceDE w:val="0"/>
        <w:autoSpaceDN w:val="0"/>
        <w:adjustRightInd w:val="0"/>
        <w:ind w:left="993"/>
        <w:rPr>
          <w:rFonts w:asciiTheme="minorHAnsi" w:hAnsiTheme="minorHAnsi" w:cstheme="minorHAnsi"/>
          <w:sz w:val="20"/>
          <w:szCs w:val="20"/>
          <w:lang w:eastAsia="en-GB"/>
        </w:rPr>
      </w:pPr>
      <w:r w:rsidRPr="00B13304">
        <w:rPr>
          <w:rFonts w:ascii="Arial" w:hAnsi="Arial" w:cs="Arial"/>
          <w:i/>
          <w:color w:val="000000"/>
          <w:sz w:val="20"/>
          <w:szCs w:val="20"/>
        </w:rPr>
        <w:t>13% did not know/had no opinion on the proposed housing guideline</w:t>
      </w:r>
      <w:r w:rsidRPr="00B13304">
        <w:rPr>
          <w:rFonts w:ascii="Arial" w:hAnsi="Arial" w:cs="Arial"/>
          <w:color w:val="000000"/>
          <w:sz w:val="20"/>
          <w:szCs w:val="20"/>
        </w:rPr>
        <w:t>.</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From this Preferred Scale and Distribution of Development Consultation Shropshire Council identified 591 unique respondents.  Of those, 113 made no response at all to Question 3, and 60 responded “Don't know / no opinion”.  The percentages noted by Shropshire Council at paragraph 13 above are therefore based on the 478 respondents who expressed an opinion on Question 3.  If instead, the results are based on all 591 unique respondents, then they can be summarised as follows:</w:t>
      </w:r>
    </w:p>
    <w:p w:rsidR="00B13304" w:rsidRPr="00B13304" w:rsidRDefault="00B13304" w:rsidP="00B13304">
      <w:pPr>
        <w:autoSpaceDE w:val="0"/>
        <w:autoSpaceDN w:val="0"/>
        <w:adjustRightInd w:val="0"/>
        <w:spacing w:before="240" w:after="120" w:line="276" w:lineRule="auto"/>
        <w:rPr>
          <w:rFonts w:ascii="Trebuchet MS" w:hAnsi="Trebuchet MS" w:cs="Verdana"/>
          <w:sz w:val="22"/>
          <w:lang w:eastAsia="en-GB"/>
        </w:rPr>
      </w:pPr>
      <w:r w:rsidRPr="00B13304">
        <w:rPr>
          <w:noProof/>
          <w:lang w:eastAsia="en-GB"/>
        </w:rPr>
        <w:drawing>
          <wp:inline distT="0" distB="0" distL="0" distR="0" wp14:anchorId="45628EB1" wp14:editId="7109093E">
            <wp:extent cx="4181475" cy="321945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13304" w:rsidRPr="00B13304" w:rsidRDefault="00B13304" w:rsidP="00B13304">
      <w:pPr>
        <w:autoSpaceDE w:val="0"/>
        <w:autoSpaceDN w:val="0"/>
        <w:adjustRightInd w:val="0"/>
        <w:spacing w:before="240" w:after="240"/>
        <w:rPr>
          <w:rFonts w:asciiTheme="minorHAnsi" w:hAnsiTheme="minorHAnsi" w:cstheme="minorHAnsi"/>
          <w:b/>
          <w:color w:val="0070C0"/>
          <w:sz w:val="36"/>
          <w:szCs w:val="36"/>
          <w:lang w:eastAsia="en-GB"/>
        </w:rPr>
      </w:pPr>
      <w:r w:rsidRPr="00B13304">
        <w:rPr>
          <w:rFonts w:asciiTheme="minorHAnsi" w:hAnsiTheme="minorHAnsi" w:cstheme="minorHAnsi"/>
          <w:b/>
          <w:color w:val="0070C0"/>
          <w:sz w:val="36"/>
          <w:szCs w:val="36"/>
          <w:lang w:eastAsia="en-GB"/>
        </w:rPr>
        <w:br w:type="page"/>
      </w:r>
    </w:p>
    <w:p w:rsidR="00B13304" w:rsidRPr="00B13304" w:rsidRDefault="00B13304" w:rsidP="0055456B">
      <w:pPr>
        <w:rPr>
          <w:rFonts w:asciiTheme="minorHAnsi" w:eastAsiaTheme="majorEastAsia" w:hAnsiTheme="minorHAnsi" w:cstheme="minorHAnsi"/>
          <w:b/>
          <w:color w:val="0070C0"/>
          <w:sz w:val="36"/>
          <w:szCs w:val="36"/>
          <w:lang w:eastAsia="en-GB"/>
        </w:rPr>
      </w:pPr>
      <w:bookmarkStart w:id="70" w:name="_Toc517888044"/>
      <w:r w:rsidRPr="00B13304">
        <w:rPr>
          <w:rFonts w:asciiTheme="minorHAnsi" w:eastAsiaTheme="majorEastAsia" w:hAnsiTheme="minorHAnsi" w:cstheme="minorHAnsi"/>
          <w:b/>
          <w:color w:val="0070C0"/>
          <w:sz w:val="36"/>
          <w:szCs w:val="36"/>
          <w:lang w:eastAsia="en-GB"/>
        </w:rPr>
        <w:lastRenderedPageBreak/>
        <w:t>CPRE Shropshire further analysis</w:t>
      </w:r>
      <w:bookmarkEnd w:id="70"/>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CPRE Shropshire’s detailed methodology applied in carrying out its further analysis of the consultation results is recorded at Appendix 1.</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 xml:space="preserve">The spreadsheets provided to us by Shropshire Council contained more entries than the number of “unique” respondents reported by the Council.  We therefore interrogated the spreadsheets in order to identify the entries not counted by Shropshire Council in its final tally.  These seemed mainly to be obvious duplicate entries, where perhaps an individual respondent had entered the Council’s computer system more than once, in error.  We also interrogated the spreadsheets to identify further entries that were wholly blank, apart from identification details.  Those entries that were neither duplicates nor blank we have termed “valid” responses.  There was also one entry which stated </w:t>
      </w:r>
      <w:r w:rsidRPr="00B13304">
        <w:rPr>
          <w:rFonts w:asciiTheme="minorHAnsi" w:eastAsiaTheme="minorHAnsi" w:hAnsiTheme="minorHAnsi" w:cstheme="minorHAnsi"/>
          <w:i/>
          <w:lang w:eastAsia="en-GB"/>
        </w:rPr>
        <w:t>"No comments to make throughout"</w:t>
      </w:r>
      <w:r w:rsidRPr="00B13304">
        <w:rPr>
          <w:rFonts w:asciiTheme="minorHAnsi" w:eastAsiaTheme="minorHAnsi" w:hAnsiTheme="minorHAnsi" w:cstheme="minorHAnsi"/>
          <w:lang w:eastAsia="en-GB"/>
        </w:rPr>
        <w:t xml:space="preserve"> which we have not included as a valid response.  The resulting counts of responses are shown below:</w:t>
      </w:r>
    </w:p>
    <w:tbl>
      <w:tblPr>
        <w:tblStyle w:val="TableGrid1"/>
        <w:tblW w:w="9071" w:type="dxa"/>
        <w:tblLook w:val="04A0" w:firstRow="1" w:lastRow="0" w:firstColumn="1" w:lastColumn="0" w:noHBand="0" w:noVBand="1"/>
      </w:tblPr>
      <w:tblGrid>
        <w:gridCol w:w="4535"/>
        <w:gridCol w:w="2268"/>
        <w:gridCol w:w="2268"/>
      </w:tblGrid>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b/>
                <w:lang w:eastAsia="en-GB"/>
              </w:rPr>
            </w:pPr>
          </w:p>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b/>
                <w:lang w:eastAsia="en-GB"/>
              </w:rPr>
            </w:pPr>
            <w:r w:rsidRPr="00B13304">
              <w:rPr>
                <w:rFonts w:asciiTheme="minorHAnsi" w:eastAsiaTheme="minorHAnsi" w:hAnsiTheme="minorHAnsi" w:cstheme="minorHAnsi"/>
                <w:b/>
                <w:lang w:eastAsia="en-GB"/>
              </w:rPr>
              <w:t>Issues and Strategic Options</w:t>
            </w: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b/>
                <w:lang w:eastAsia="en-GB"/>
              </w:rPr>
            </w:pPr>
            <w:r w:rsidRPr="00B13304">
              <w:rPr>
                <w:rFonts w:asciiTheme="minorHAnsi" w:eastAsiaTheme="minorHAnsi" w:hAnsiTheme="minorHAnsi" w:cstheme="minorHAnsi"/>
                <w:b/>
                <w:lang w:eastAsia="en-GB"/>
              </w:rPr>
              <w:t>Preferred Scale and Distribution of Development</w:t>
            </w:r>
          </w:p>
        </w:tc>
      </w:tr>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Rows on spreadsheets</w:t>
            </w: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443</w:t>
            </w: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623</w:t>
            </w:r>
          </w:p>
        </w:tc>
      </w:tr>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Shropshire Council – “unique” respondents</w:t>
            </w: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412</w:t>
            </w: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591</w:t>
            </w:r>
          </w:p>
        </w:tc>
      </w:tr>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CPRE Shropshire – “valid” responses</w:t>
            </w: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382</w:t>
            </w:r>
          </w:p>
        </w:tc>
        <w:tc>
          <w:tcPr>
            <w:tcW w:w="2268" w:type="dxa"/>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587</w:t>
            </w:r>
          </w:p>
        </w:tc>
      </w:tr>
    </w:tbl>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In the course of interrogating the spreadsheets for duplicate and blank entries it also became apparent that there were many instances of multiple, identical or near-identical entries from agents, on behalf of their different client landowners.</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 xml:space="preserve">For the Issues and Strategic Options consultation </w:t>
      </w:r>
      <w:r w:rsidRPr="00B13304">
        <w:rPr>
          <w:rFonts w:asciiTheme="minorHAnsi" w:eastAsiaTheme="minorHAnsi" w:hAnsiTheme="minorHAnsi" w:cstheme="minorHAnsi"/>
        </w:rPr>
        <w:t>we counted 121 valid responses from landowners, developers and agents (almost entirely from agents on behalf of their clients), but these were from only 38 separate firms of agents i.e. an average of over 3 responses per firm.  One local firm of agents put in 32 separate responses.  Three others put in 10 or more responses each.</w:t>
      </w:r>
      <w:r w:rsidRPr="00B13304">
        <w:rPr>
          <w:rFonts w:asciiTheme="minorHAnsi" w:eastAsiaTheme="minorHAnsi" w:hAnsiTheme="minorHAnsi" w:cstheme="minorHAnsi"/>
          <w:lang w:eastAsia="en-GB"/>
        </w:rPr>
        <w:t xml:space="preserve">  </w:t>
      </w:r>
      <w:r w:rsidRPr="00B13304">
        <w:rPr>
          <w:rFonts w:asciiTheme="minorHAnsi" w:eastAsiaTheme="minorHAnsi" w:hAnsiTheme="minorHAnsi" w:cstheme="minorHAnsi"/>
        </w:rPr>
        <w:t>We identified 47 narrative responses that were absolutely identical to other responses from the same agent.  A further 11 were almost identical.  One agent submitted 25 identical responses.  All of these repeat responses favoured the “High” option.</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rPr>
        <w:t xml:space="preserve">For the Preferred Scale and Distribution of Development consultation we counted 206 valid responses from landowners, developers and agents (almost entirely from agents on behalf of their clients), but these were from only 54 separate firms of agents i.e. an average of almost 4 responses per firm.  One local firm of agents put in 57 separate responses.  Four others put in 10 or more responses.  71 separate individuals responded </w:t>
      </w:r>
      <w:r w:rsidRPr="00B13304">
        <w:rPr>
          <w:rFonts w:asciiTheme="minorHAnsi" w:eastAsiaTheme="minorHAnsi" w:hAnsiTheme="minorHAnsi" w:cstheme="minorHAnsi"/>
        </w:rPr>
        <w:lastRenderedPageBreak/>
        <w:t>from within these firms of agents.</w:t>
      </w:r>
      <w:r w:rsidRPr="00B13304">
        <w:rPr>
          <w:rFonts w:asciiTheme="minorHAnsi" w:eastAsiaTheme="minorHAnsi" w:hAnsiTheme="minorHAnsi" w:cstheme="minorHAnsi"/>
          <w:lang w:eastAsia="en-GB"/>
        </w:rPr>
        <w:t xml:space="preserve">  We identified </w:t>
      </w:r>
      <w:r w:rsidRPr="00B13304">
        <w:rPr>
          <w:rFonts w:asciiTheme="minorHAnsi" w:eastAsiaTheme="minorHAnsi" w:hAnsiTheme="minorHAnsi" w:cstheme="minorHAnsi"/>
        </w:rPr>
        <w:t>39 narrative responses that were absolutely identical to other responses from the same person/agent.  Several other responses were very nearly identical.  All of these repeat responses were “Yes” responses.</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rPr>
        <w:t>The analysis of the different elements of the total valid responses is as follows:</w:t>
      </w:r>
    </w:p>
    <w:tbl>
      <w:tblPr>
        <w:tblStyle w:val="TableGrid1"/>
        <w:tblW w:w="0" w:type="auto"/>
        <w:tblCellMar>
          <w:right w:w="170" w:type="dxa"/>
        </w:tblCellMar>
        <w:tblLook w:val="04A0" w:firstRow="1" w:lastRow="0" w:firstColumn="1" w:lastColumn="0" w:noHBand="0" w:noVBand="1"/>
      </w:tblPr>
      <w:tblGrid>
        <w:gridCol w:w="4515"/>
        <w:gridCol w:w="1131"/>
        <w:gridCol w:w="1133"/>
        <w:gridCol w:w="1131"/>
        <w:gridCol w:w="1133"/>
      </w:tblGrid>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p>
        </w:tc>
        <w:tc>
          <w:tcPr>
            <w:tcW w:w="2268" w:type="dxa"/>
            <w:gridSpan w:val="2"/>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b/>
                <w:lang w:eastAsia="en-GB"/>
              </w:rPr>
            </w:pPr>
          </w:p>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b/>
                <w:lang w:eastAsia="en-GB"/>
              </w:rPr>
            </w:pPr>
            <w:r w:rsidRPr="00B13304">
              <w:rPr>
                <w:rFonts w:asciiTheme="minorHAnsi" w:eastAsiaTheme="minorHAnsi" w:hAnsiTheme="minorHAnsi" w:cstheme="minorHAnsi"/>
                <w:b/>
                <w:lang w:eastAsia="en-GB"/>
              </w:rPr>
              <w:t>Issues and Strategic Options</w:t>
            </w:r>
          </w:p>
        </w:tc>
        <w:tc>
          <w:tcPr>
            <w:tcW w:w="2268" w:type="dxa"/>
            <w:gridSpan w:val="2"/>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b/>
                <w:lang w:eastAsia="en-GB"/>
              </w:rPr>
            </w:pPr>
            <w:r w:rsidRPr="00B13304">
              <w:rPr>
                <w:rFonts w:asciiTheme="minorHAnsi" w:eastAsiaTheme="minorHAnsi" w:hAnsiTheme="minorHAnsi" w:cstheme="minorHAnsi"/>
                <w:b/>
                <w:lang w:eastAsia="en-GB"/>
              </w:rPr>
              <w:t>Preferred Scale and Distribution of Development</w:t>
            </w:r>
          </w:p>
        </w:tc>
      </w:tr>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Members of the public</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138</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36.1%</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284</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48.4%</w:t>
            </w:r>
          </w:p>
        </w:tc>
      </w:tr>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Town and Parish Councils</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91</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23.8%</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59</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10.0%</w:t>
            </w:r>
          </w:p>
        </w:tc>
      </w:tr>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Local and National Interest groups</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32</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8.4%</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38</w:t>
            </w:r>
          </w:p>
        </w:tc>
        <w:tc>
          <w:tcPr>
            <w:tcW w:w="1134" w:type="dxa"/>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6.5%</w:t>
            </w:r>
          </w:p>
        </w:tc>
      </w:tr>
      <w:tr w:rsidR="00B13304" w:rsidRPr="00B13304" w:rsidTr="0080531D">
        <w:trPr>
          <w:trHeight w:val="454"/>
        </w:trPr>
        <w:tc>
          <w:tcPr>
            <w:tcW w:w="4535" w:type="dxa"/>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Agents, for landowners and developers</w:t>
            </w:r>
          </w:p>
        </w:tc>
        <w:tc>
          <w:tcPr>
            <w:tcW w:w="1134" w:type="dxa"/>
            <w:tcBorders>
              <w:bottom w:val="single" w:sz="12"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121</w:t>
            </w:r>
          </w:p>
        </w:tc>
        <w:tc>
          <w:tcPr>
            <w:tcW w:w="1134" w:type="dxa"/>
            <w:tcBorders>
              <w:bottom w:val="single" w:sz="12"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31.7%</w:t>
            </w:r>
          </w:p>
        </w:tc>
        <w:tc>
          <w:tcPr>
            <w:tcW w:w="1134" w:type="dxa"/>
            <w:tcBorders>
              <w:bottom w:val="single" w:sz="12"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206</w:t>
            </w:r>
          </w:p>
        </w:tc>
        <w:tc>
          <w:tcPr>
            <w:tcW w:w="1134" w:type="dxa"/>
            <w:tcBorders>
              <w:bottom w:val="single" w:sz="12"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35.1%</w:t>
            </w:r>
          </w:p>
        </w:tc>
      </w:tr>
      <w:tr w:rsidR="00B13304" w:rsidRPr="00B13304" w:rsidTr="0080531D">
        <w:trPr>
          <w:trHeight w:val="454"/>
        </w:trPr>
        <w:tc>
          <w:tcPr>
            <w:tcW w:w="4535" w:type="dxa"/>
            <w:tcBorders>
              <w:right w:val="single" w:sz="4" w:space="0" w:color="auto"/>
            </w:tcBorders>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Total</w:t>
            </w:r>
          </w:p>
        </w:tc>
        <w:tc>
          <w:tcPr>
            <w:tcW w:w="1134" w:type="dxa"/>
            <w:tcBorders>
              <w:top w:val="single" w:sz="12" w:space="0" w:color="auto"/>
              <w:left w:val="single" w:sz="4" w:space="0" w:color="auto"/>
              <w:bottom w:val="single" w:sz="12" w:space="0" w:color="auto"/>
              <w:right w:val="single" w:sz="4"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382</w:t>
            </w:r>
          </w:p>
        </w:tc>
        <w:tc>
          <w:tcPr>
            <w:tcW w:w="1134" w:type="dxa"/>
            <w:tcBorders>
              <w:top w:val="single" w:sz="12" w:space="0" w:color="auto"/>
              <w:left w:val="single" w:sz="4" w:space="0" w:color="auto"/>
              <w:bottom w:val="single" w:sz="12" w:space="0" w:color="auto"/>
              <w:right w:val="single" w:sz="4"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100.0%</w:t>
            </w:r>
          </w:p>
        </w:tc>
        <w:tc>
          <w:tcPr>
            <w:tcW w:w="1134" w:type="dxa"/>
            <w:tcBorders>
              <w:top w:val="single" w:sz="12" w:space="0" w:color="auto"/>
              <w:left w:val="single" w:sz="4" w:space="0" w:color="auto"/>
              <w:bottom w:val="single" w:sz="12" w:space="0" w:color="auto"/>
              <w:right w:val="single" w:sz="4"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587</w:t>
            </w:r>
          </w:p>
        </w:tc>
        <w:tc>
          <w:tcPr>
            <w:tcW w:w="1134" w:type="dxa"/>
            <w:tcBorders>
              <w:top w:val="single" w:sz="12" w:space="0" w:color="auto"/>
              <w:left w:val="single" w:sz="4" w:space="0" w:color="auto"/>
              <w:bottom w:val="single" w:sz="12" w:space="0" w:color="auto"/>
              <w:right w:val="single" w:sz="4" w:space="0" w:color="auto"/>
            </w:tcBorders>
          </w:tcPr>
          <w:p w:rsidR="00B13304" w:rsidRPr="00B13304" w:rsidRDefault="00B13304" w:rsidP="00B13304">
            <w:pPr>
              <w:autoSpaceDE w:val="0"/>
              <w:autoSpaceDN w:val="0"/>
              <w:adjustRightInd w:val="0"/>
              <w:spacing w:before="60" w:after="60" w:line="259" w:lineRule="auto"/>
              <w:jc w:val="right"/>
              <w:rPr>
                <w:rFonts w:asciiTheme="minorHAnsi" w:eastAsiaTheme="minorHAnsi" w:hAnsiTheme="minorHAnsi" w:cstheme="minorHAnsi"/>
                <w:i/>
                <w:lang w:eastAsia="en-GB"/>
              </w:rPr>
            </w:pPr>
            <w:r w:rsidRPr="00B13304">
              <w:rPr>
                <w:rFonts w:asciiTheme="minorHAnsi" w:eastAsiaTheme="minorHAnsi" w:hAnsiTheme="minorHAnsi" w:cstheme="minorHAnsi"/>
                <w:i/>
                <w:lang w:eastAsia="en-GB"/>
              </w:rPr>
              <w:t>100.0%</w:t>
            </w:r>
          </w:p>
        </w:tc>
      </w:tr>
    </w:tbl>
    <w:p w:rsidR="00B13304" w:rsidRPr="00B13304" w:rsidRDefault="00B13304" w:rsidP="00B13304">
      <w:pPr>
        <w:spacing w:after="120"/>
        <w:contextualSpacing/>
        <w:rPr>
          <w:rFonts w:asciiTheme="minorHAnsi" w:eastAsiaTheme="minorHAnsi" w:hAnsiTheme="minorHAnsi" w:cstheme="minorHAnsi"/>
          <w:sz w:val="22"/>
          <w:szCs w:val="22"/>
          <w:lang w:eastAsia="en-GB"/>
        </w:rPr>
      </w:pPr>
    </w:p>
    <w:p w:rsidR="00B13304" w:rsidRPr="00B13304" w:rsidRDefault="00B13304" w:rsidP="0055456B">
      <w:pPr>
        <w:rPr>
          <w:rFonts w:asciiTheme="minorHAnsi" w:eastAsiaTheme="majorEastAsia" w:hAnsiTheme="minorHAnsi" w:cstheme="minorHAnsi"/>
          <w:b/>
          <w:color w:val="0070C0"/>
          <w:sz w:val="36"/>
          <w:szCs w:val="36"/>
          <w:lang w:eastAsia="en-GB"/>
        </w:rPr>
      </w:pPr>
      <w:bookmarkStart w:id="71" w:name="_Toc517888045"/>
      <w:r w:rsidRPr="00B13304">
        <w:rPr>
          <w:rFonts w:asciiTheme="minorHAnsi" w:eastAsiaTheme="majorEastAsia" w:hAnsiTheme="minorHAnsi" w:cstheme="minorHAnsi"/>
          <w:b/>
          <w:color w:val="0070C0"/>
          <w:sz w:val="36"/>
          <w:szCs w:val="36"/>
          <w:lang w:eastAsia="en-GB"/>
        </w:rPr>
        <w:t>Results of CPRE Shropshire further analysis</w:t>
      </w:r>
      <w:bookmarkEnd w:id="71"/>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sz w:val="28"/>
          <w:szCs w:val="28"/>
          <w:lang w:eastAsia="en-GB"/>
        </w:rPr>
      </w:pPr>
      <w:r w:rsidRPr="00B13304">
        <w:rPr>
          <w:rFonts w:asciiTheme="minorHAnsi" w:hAnsiTheme="minorHAnsi" w:cstheme="minorHAnsi"/>
          <w:b/>
          <w:i/>
          <w:color w:val="0070C0"/>
          <w:sz w:val="28"/>
          <w:szCs w:val="28"/>
          <w:lang w:eastAsia="en-GB"/>
        </w:rPr>
        <w:t>Issues and Strategic Options</w:t>
      </w:r>
    </w:p>
    <w:p w:rsidR="00B13304" w:rsidRPr="00B13304" w:rsidRDefault="00B13304" w:rsidP="002427CD">
      <w:pPr>
        <w:numPr>
          <w:ilvl w:val="1"/>
          <w:numId w:val="2"/>
        </w:numPr>
        <w:autoSpaceDE w:val="0"/>
        <w:autoSpaceDN w:val="0"/>
        <w:adjustRightInd w:val="0"/>
        <w:spacing w:before="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rPr>
        <w:t>Our further analysis of the responses from respondents expressing a view shows the following:-</w:t>
      </w:r>
    </w:p>
    <w:tbl>
      <w:tblPr>
        <w:tblW w:w="0" w:type="auto"/>
        <w:tblBorders>
          <w:top w:val="single" w:sz="4" w:space="0" w:color="000000"/>
          <w:left w:val="single" w:sz="4" w:space="0" w:color="000000"/>
          <w:bottom w:val="single" w:sz="4" w:space="0" w:color="000000"/>
          <w:right w:val="single" w:sz="4" w:space="0" w:color="000000"/>
          <w:insideV w:val="single" w:sz="4" w:space="0" w:color="000000"/>
        </w:tblBorders>
        <w:tblLook w:val="00A0" w:firstRow="1" w:lastRow="0" w:firstColumn="1" w:lastColumn="0" w:noHBand="0" w:noVBand="0"/>
      </w:tblPr>
      <w:tblGrid>
        <w:gridCol w:w="2835"/>
        <w:gridCol w:w="850"/>
        <w:gridCol w:w="1701"/>
        <w:gridCol w:w="1701"/>
        <w:gridCol w:w="1701"/>
      </w:tblGrid>
      <w:tr w:rsidR="00B13304" w:rsidRPr="00B13304" w:rsidTr="0080531D">
        <w:trPr>
          <w:gridBefore w:val="2"/>
          <w:wBefore w:w="3685" w:type="dxa"/>
        </w:trPr>
        <w:tc>
          <w:tcPr>
            <w:tcW w:w="5103" w:type="dxa"/>
            <w:gridSpan w:val="3"/>
          </w:tcPr>
          <w:p w:rsidR="00B13304" w:rsidRPr="00B13304" w:rsidRDefault="00B13304" w:rsidP="00B13304">
            <w:pPr>
              <w:jc w:val="center"/>
              <w:rPr>
                <w:rFonts w:asciiTheme="minorHAnsi" w:hAnsiTheme="minorHAnsi" w:cstheme="minorHAnsi"/>
                <w:b/>
              </w:rPr>
            </w:pPr>
            <w:r w:rsidRPr="00B13304">
              <w:rPr>
                <w:rFonts w:asciiTheme="minorHAnsi" w:hAnsiTheme="minorHAnsi" w:cstheme="minorHAnsi"/>
                <w:b/>
              </w:rPr>
              <w:t>% opting for each option</w:t>
            </w:r>
          </w:p>
        </w:tc>
      </w:tr>
      <w:tr w:rsidR="00B13304" w:rsidRPr="00B13304" w:rsidTr="0080531D">
        <w:tc>
          <w:tcPr>
            <w:tcW w:w="2835" w:type="dxa"/>
            <w:tcBorders>
              <w:top w:val="single" w:sz="4" w:space="0" w:color="000000"/>
              <w:bottom w:val="single" w:sz="4" w:space="0" w:color="000000"/>
            </w:tcBorders>
          </w:tcPr>
          <w:p w:rsidR="00B13304" w:rsidRPr="00B13304" w:rsidRDefault="00B13304" w:rsidP="00B13304">
            <w:pPr>
              <w:rPr>
                <w:rFonts w:asciiTheme="minorHAnsi" w:hAnsiTheme="minorHAnsi" w:cstheme="minorHAnsi"/>
              </w:rPr>
            </w:pPr>
          </w:p>
        </w:tc>
        <w:tc>
          <w:tcPr>
            <w:tcW w:w="850" w:type="dxa"/>
            <w:tcBorders>
              <w:top w:val="single" w:sz="4" w:space="0" w:color="000000"/>
              <w:bottom w:val="single" w:sz="4" w:space="0" w:color="000000"/>
            </w:tcBorders>
          </w:tcPr>
          <w:p w:rsidR="00B13304" w:rsidRPr="00B13304" w:rsidRDefault="00B13304" w:rsidP="00B13304">
            <w:pPr>
              <w:jc w:val="center"/>
              <w:rPr>
                <w:rFonts w:asciiTheme="minorHAnsi" w:hAnsiTheme="minorHAnsi" w:cstheme="minorHAnsi"/>
              </w:rPr>
            </w:pPr>
          </w:p>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Total</w:t>
            </w:r>
          </w:p>
        </w:tc>
        <w:tc>
          <w:tcPr>
            <w:tcW w:w="1701" w:type="dxa"/>
            <w:tcBorders>
              <w:top w:val="single" w:sz="4" w:space="0" w:color="000000"/>
              <w:bottom w:val="single" w:sz="4" w:space="0" w:color="000000"/>
            </w:tcBorders>
          </w:tcPr>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 xml:space="preserve">Moderate Growth </w:t>
            </w:r>
          </w:p>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(26,250 houses) or lower</w:t>
            </w:r>
          </w:p>
        </w:tc>
        <w:tc>
          <w:tcPr>
            <w:tcW w:w="1701" w:type="dxa"/>
            <w:tcBorders>
              <w:top w:val="single" w:sz="4" w:space="0" w:color="000000"/>
              <w:bottom w:val="single" w:sz="4" w:space="0" w:color="000000"/>
            </w:tcBorders>
          </w:tcPr>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Significant Growth</w:t>
            </w:r>
          </w:p>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(27,500 houses)</w:t>
            </w:r>
          </w:p>
        </w:tc>
        <w:tc>
          <w:tcPr>
            <w:tcW w:w="1701" w:type="dxa"/>
            <w:tcBorders>
              <w:top w:val="single" w:sz="4" w:space="0" w:color="000000"/>
              <w:bottom w:val="single" w:sz="4" w:space="0" w:color="000000"/>
            </w:tcBorders>
          </w:tcPr>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High Growth</w:t>
            </w:r>
          </w:p>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(28,750 houses)</w:t>
            </w:r>
          </w:p>
        </w:tc>
      </w:tr>
      <w:tr w:rsidR="00B13304" w:rsidRPr="00B13304" w:rsidTr="0080531D">
        <w:tc>
          <w:tcPr>
            <w:tcW w:w="2835"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Members of the public</w:t>
            </w:r>
          </w:p>
        </w:tc>
        <w:tc>
          <w:tcPr>
            <w:tcW w:w="850"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128</w:t>
            </w:r>
          </w:p>
        </w:tc>
        <w:tc>
          <w:tcPr>
            <w:tcW w:w="1701"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88</w:t>
            </w:r>
          </w:p>
        </w:tc>
        <w:tc>
          <w:tcPr>
            <w:tcW w:w="1701"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w:t>
            </w:r>
          </w:p>
        </w:tc>
        <w:tc>
          <w:tcPr>
            <w:tcW w:w="1701"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7</w:t>
            </w:r>
          </w:p>
        </w:tc>
      </w:tr>
      <w:tr w:rsidR="00B13304" w:rsidRPr="00B13304" w:rsidTr="0080531D">
        <w:tc>
          <w:tcPr>
            <w:tcW w:w="2835"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Town and Parish Councils</w:t>
            </w:r>
          </w:p>
        </w:tc>
        <w:tc>
          <w:tcPr>
            <w:tcW w:w="850"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73</w:t>
            </w:r>
          </w:p>
        </w:tc>
        <w:tc>
          <w:tcPr>
            <w:tcW w:w="1701"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74</w:t>
            </w:r>
          </w:p>
        </w:tc>
        <w:tc>
          <w:tcPr>
            <w:tcW w:w="1701"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22</w:t>
            </w:r>
          </w:p>
        </w:tc>
        <w:tc>
          <w:tcPr>
            <w:tcW w:w="1701" w:type="dxa"/>
            <w:tcBorders>
              <w:top w:val="single" w:sz="4" w:space="0" w:color="000000"/>
              <w:bottom w:val="single" w:sz="4" w:space="0" w:color="000000"/>
            </w:tcBorders>
            <w:vAlign w:val="center"/>
          </w:tcPr>
          <w:p w:rsidR="00B13304" w:rsidRPr="00B13304" w:rsidRDefault="00B13304" w:rsidP="00B13304">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4</w:t>
            </w:r>
          </w:p>
        </w:tc>
      </w:tr>
      <w:tr w:rsidR="00B13304" w:rsidRPr="00B13304" w:rsidTr="0080531D">
        <w:tc>
          <w:tcPr>
            <w:tcW w:w="2835"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Local and National Interest groups</w:t>
            </w:r>
          </w:p>
        </w:tc>
        <w:tc>
          <w:tcPr>
            <w:tcW w:w="850"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17</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65</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17</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18</w:t>
            </w:r>
          </w:p>
        </w:tc>
      </w:tr>
      <w:tr w:rsidR="00B13304" w:rsidRPr="00B13304" w:rsidTr="0080531D">
        <w:tc>
          <w:tcPr>
            <w:tcW w:w="2835"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Agents, for landowners and developers</w:t>
            </w:r>
          </w:p>
        </w:tc>
        <w:tc>
          <w:tcPr>
            <w:tcW w:w="850" w:type="dxa"/>
            <w:tcBorders>
              <w:top w:val="single" w:sz="4" w:space="0" w:color="000000"/>
              <w:bottom w:val="single" w:sz="12"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106</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11</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88</w:t>
            </w:r>
          </w:p>
        </w:tc>
      </w:tr>
      <w:tr w:rsidR="00B13304" w:rsidRPr="00B13304" w:rsidTr="0080531D">
        <w:tc>
          <w:tcPr>
            <w:tcW w:w="2835"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Total – as CPRE</w:t>
            </w:r>
          </w:p>
        </w:tc>
        <w:tc>
          <w:tcPr>
            <w:tcW w:w="850" w:type="dxa"/>
            <w:tcBorders>
              <w:top w:val="single" w:sz="12" w:space="0" w:color="000000"/>
              <w:bottom w:val="single" w:sz="12"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324</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55</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12</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33</w:t>
            </w:r>
          </w:p>
        </w:tc>
      </w:tr>
      <w:tr w:rsidR="00B13304" w:rsidRPr="00B13304" w:rsidTr="0080531D">
        <w:tc>
          <w:tcPr>
            <w:tcW w:w="2835"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Total – as CPRE, excluding identical responses from agents</w:t>
            </w:r>
          </w:p>
        </w:tc>
        <w:tc>
          <w:tcPr>
            <w:tcW w:w="850" w:type="dxa"/>
            <w:tcBorders>
              <w:top w:val="single" w:sz="12"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276</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64</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14</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22</w:t>
            </w:r>
          </w:p>
        </w:tc>
      </w:tr>
      <w:tr w:rsidR="00B13304" w:rsidRPr="00B13304" w:rsidTr="0080531D">
        <w:tc>
          <w:tcPr>
            <w:tcW w:w="2835"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Total – as Shropshire Council</w:t>
            </w:r>
          </w:p>
        </w:tc>
        <w:tc>
          <w:tcPr>
            <w:tcW w:w="850"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299</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51</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13</w:t>
            </w:r>
          </w:p>
        </w:tc>
        <w:tc>
          <w:tcPr>
            <w:tcW w:w="1701" w:type="dxa"/>
            <w:tcBorders>
              <w:top w:val="single" w:sz="4" w:space="0" w:color="000000"/>
              <w:bottom w:val="single" w:sz="4" w:space="0" w:color="000000"/>
            </w:tcBorders>
            <w:vAlign w:val="center"/>
          </w:tcPr>
          <w:p w:rsidR="00B13304" w:rsidRPr="00B13304" w:rsidRDefault="00B13304" w:rsidP="00D53B7D">
            <w:pPr>
              <w:autoSpaceDE w:val="0"/>
              <w:autoSpaceDN w:val="0"/>
              <w:adjustRightInd w:val="0"/>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36</w:t>
            </w:r>
          </w:p>
        </w:tc>
      </w:tr>
    </w:tbl>
    <w:p w:rsidR="00B13304" w:rsidRPr="00B13304" w:rsidRDefault="00B13304" w:rsidP="002427CD">
      <w:pPr>
        <w:keepNext/>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lastRenderedPageBreak/>
        <w:t>These results can be expressed pictorially in the following charts:</w:t>
      </w:r>
    </w:p>
    <w:p w:rsidR="00B13304" w:rsidRPr="00B13304" w:rsidRDefault="00B13304" w:rsidP="00B13304">
      <w:pPr>
        <w:autoSpaceDE w:val="0"/>
        <w:autoSpaceDN w:val="0"/>
        <w:adjustRightInd w:val="0"/>
        <w:spacing w:before="240" w:after="240" w:line="276" w:lineRule="auto"/>
        <w:rPr>
          <w:rFonts w:eastAsiaTheme="minorHAnsi" w:cstheme="minorBidi"/>
          <w:noProof/>
          <w:szCs w:val="22"/>
          <w:lang w:eastAsia="en-GB"/>
        </w:rPr>
      </w:pPr>
      <w:r w:rsidRPr="00B13304">
        <w:rPr>
          <w:rFonts w:eastAsiaTheme="minorHAnsi" w:cstheme="minorBidi"/>
          <w:noProof/>
          <w:szCs w:val="22"/>
          <w:lang w:eastAsia="en-GB"/>
        </w:rPr>
        <w:drawing>
          <wp:inline distT="0" distB="0" distL="0" distR="0" wp14:anchorId="02B493C7" wp14:editId="6495DD55">
            <wp:extent cx="2700000" cy="2520000"/>
            <wp:effectExtent l="0" t="0" r="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B13304">
        <w:rPr>
          <w:rFonts w:eastAsiaTheme="minorHAnsi" w:cstheme="minorBidi"/>
          <w:noProof/>
          <w:szCs w:val="22"/>
          <w:lang w:eastAsia="en-GB"/>
        </w:rPr>
        <w:t xml:space="preserve">    </w:t>
      </w:r>
      <w:r w:rsidRPr="00B13304">
        <w:rPr>
          <w:rFonts w:eastAsiaTheme="minorHAnsi" w:cstheme="minorBidi"/>
          <w:noProof/>
          <w:szCs w:val="22"/>
          <w:lang w:eastAsia="en-GB"/>
        </w:rPr>
        <w:drawing>
          <wp:inline distT="0" distB="0" distL="0" distR="0" wp14:anchorId="6458EDE1" wp14:editId="42AAC613">
            <wp:extent cx="2700000" cy="2520000"/>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rPr>
      </w:pPr>
      <w:r w:rsidRPr="00B13304">
        <w:rPr>
          <w:rFonts w:eastAsiaTheme="minorHAnsi" w:cstheme="minorBidi"/>
          <w:noProof/>
          <w:szCs w:val="22"/>
          <w:lang w:eastAsia="en-GB"/>
        </w:rPr>
        <w:drawing>
          <wp:inline distT="0" distB="0" distL="0" distR="0" wp14:anchorId="2C7DB1FA" wp14:editId="6D218CF3">
            <wp:extent cx="2700000" cy="2520000"/>
            <wp:effectExtent l="0" t="0" r="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B13304">
        <w:rPr>
          <w:rFonts w:asciiTheme="minorHAnsi" w:eastAsiaTheme="minorHAnsi" w:hAnsiTheme="minorHAnsi" w:cstheme="minorHAnsi"/>
        </w:rPr>
        <w:t xml:space="preserve">    </w:t>
      </w:r>
      <w:r w:rsidRPr="00B13304">
        <w:rPr>
          <w:rFonts w:eastAsiaTheme="minorHAnsi" w:cstheme="minorBidi"/>
          <w:noProof/>
          <w:szCs w:val="22"/>
          <w:lang w:eastAsia="en-GB"/>
        </w:rPr>
        <w:drawing>
          <wp:inline distT="0" distB="0" distL="0" distR="0" wp14:anchorId="3B292AE8" wp14:editId="355FDE06">
            <wp:extent cx="2700000" cy="2520000"/>
            <wp:effectExtent l="0" t="0" r="0"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rPr>
      </w:pPr>
      <w:r w:rsidRPr="00B13304">
        <w:rPr>
          <w:rFonts w:eastAsiaTheme="minorHAnsi" w:cstheme="minorBidi"/>
          <w:noProof/>
          <w:szCs w:val="22"/>
          <w:lang w:eastAsia="en-GB"/>
        </w:rPr>
        <w:drawing>
          <wp:inline distT="0" distB="0" distL="0" distR="0" wp14:anchorId="39D55A8E" wp14:editId="48FFD346">
            <wp:extent cx="2700000" cy="25200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B13304">
        <w:rPr>
          <w:rFonts w:asciiTheme="minorHAnsi" w:eastAsiaTheme="minorHAnsi" w:hAnsiTheme="minorHAnsi" w:cstheme="minorHAnsi"/>
        </w:rPr>
        <w:t xml:space="preserve">    </w:t>
      </w:r>
      <w:r w:rsidRPr="00B13304">
        <w:rPr>
          <w:rFonts w:eastAsiaTheme="minorHAnsi" w:cstheme="minorBidi"/>
          <w:noProof/>
          <w:szCs w:val="22"/>
          <w:lang w:eastAsia="en-GB"/>
        </w:rPr>
        <w:drawing>
          <wp:inline distT="0" distB="0" distL="0" distR="0" wp14:anchorId="19590E88" wp14:editId="088F32AE">
            <wp:extent cx="2700000" cy="25200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 xml:space="preserve">The results are stark.  Members of the Public, and Town and Parish Councils represented 62% of all respondents expressing a view.  Of these, nearly 5 times as many stated a </w:t>
      </w:r>
      <w:r w:rsidRPr="00B13304">
        <w:rPr>
          <w:rFonts w:asciiTheme="minorHAnsi" w:eastAsiaTheme="minorHAnsi" w:hAnsiTheme="minorHAnsi" w:cstheme="minorHAnsi"/>
        </w:rPr>
        <w:lastRenderedPageBreak/>
        <w:t>preference for a low growth option than they did for the two higher options combined.  88% of Members of the Public and 74% of Town and Parish Councils preferred a low growth option.  As a group, it was only the agents (acting for landowners and developers) who preferred the highest growth option, to the tune of 88%.  Included in our further analysis is the fact that many of those responding did not tick any of the growth options offered in the consultation because they believed that all 3 options were too high; our results take account of these respondents’ written views, which Shropshire Council did not.</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sz w:val="28"/>
          <w:szCs w:val="28"/>
          <w:lang w:eastAsia="en-GB"/>
        </w:rPr>
      </w:pPr>
      <w:r w:rsidRPr="00B13304">
        <w:rPr>
          <w:rFonts w:asciiTheme="minorHAnsi" w:eastAsiaTheme="minorHAnsi" w:hAnsiTheme="minorHAnsi" w:cstheme="minorHAnsi"/>
        </w:rPr>
        <w:t>Because of the high volume of responses from agents, many of which were duplicate and even identical responses, the average response rates published by Shropshire Council appear to be more evenly spread between those preferring the lower or higher options.</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sz w:val="28"/>
          <w:szCs w:val="28"/>
          <w:lang w:eastAsia="en-GB"/>
        </w:rPr>
      </w:pPr>
      <w:r w:rsidRPr="00B13304">
        <w:rPr>
          <w:rFonts w:asciiTheme="minorHAnsi" w:eastAsiaTheme="minorHAnsi" w:hAnsiTheme="minorHAnsi" w:cstheme="minorHAnsi"/>
        </w:rPr>
        <w:t>It is absolutely clear; both the general public, and Town and Parish Councils, want lower growth rates than Shropshire Council is promoting.</w:t>
      </w:r>
    </w:p>
    <w:p w:rsidR="00B13304" w:rsidRPr="00B13304" w:rsidRDefault="00B13304" w:rsidP="00B13304">
      <w:pPr>
        <w:autoSpaceDE w:val="0"/>
        <w:autoSpaceDN w:val="0"/>
        <w:adjustRightInd w:val="0"/>
        <w:spacing w:before="240" w:after="240" w:line="276" w:lineRule="auto"/>
        <w:rPr>
          <w:rFonts w:asciiTheme="minorHAnsi" w:hAnsiTheme="minorHAnsi" w:cstheme="minorHAnsi"/>
          <w:b/>
          <w:i/>
          <w:color w:val="0070C0"/>
          <w:sz w:val="28"/>
          <w:szCs w:val="28"/>
          <w:lang w:eastAsia="en-GB"/>
        </w:rPr>
      </w:pPr>
      <w:r w:rsidRPr="00B13304">
        <w:rPr>
          <w:rFonts w:asciiTheme="minorHAnsi" w:hAnsiTheme="minorHAnsi" w:cstheme="minorHAnsi"/>
          <w:b/>
          <w:i/>
          <w:color w:val="0070C0"/>
          <w:sz w:val="28"/>
          <w:szCs w:val="28"/>
          <w:lang w:eastAsia="en-GB"/>
        </w:rPr>
        <w:t>Preferred Scale and Distribution of Development</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rPr>
        <w:t>Our further analysis of the responses from respondents expressing a view shows the following:-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850"/>
        <w:gridCol w:w="1701"/>
        <w:gridCol w:w="1701"/>
      </w:tblGrid>
      <w:tr w:rsidR="00B13304" w:rsidRPr="00B13304" w:rsidTr="0080531D">
        <w:trPr>
          <w:gridBefore w:val="2"/>
          <w:wBefore w:w="3685" w:type="dxa"/>
        </w:trPr>
        <w:tc>
          <w:tcPr>
            <w:tcW w:w="3402" w:type="dxa"/>
            <w:gridSpan w:val="2"/>
          </w:tcPr>
          <w:p w:rsidR="00B13304" w:rsidRPr="00B13304" w:rsidRDefault="00B13304" w:rsidP="00B13304">
            <w:pPr>
              <w:jc w:val="center"/>
              <w:rPr>
                <w:rFonts w:asciiTheme="minorHAnsi" w:hAnsiTheme="minorHAnsi" w:cstheme="minorHAnsi"/>
                <w:b/>
              </w:rPr>
            </w:pPr>
            <w:r w:rsidRPr="00B13304">
              <w:rPr>
                <w:rFonts w:asciiTheme="minorHAnsi" w:hAnsiTheme="minorHAnsi" w:cstheme="minorHAnsi"/>
                <w:b/>
              </w:rPr>
              <w:t>% opting for each option</w:t>
            </w:r>
          </w:p>
        </w:tc>
      </w:tr>
      <w:tr w:rsidR="00B13304" w:rsidRPr="00B13304" w:rsidTr="0080531D">
        <w:tc>
          <w:tcPr>
            <w:tcW w:w="2835" w:type="dxa"/>
          </w:tcPr>
          <w:p w:rsidR="00B13304" w:rsidRPr="00B13304" w:rsidRDefault="00B13304" w:rsidP="00B13304">
            <w:pPr>
              <w:rPr>
                <w:rFonts w:asciiTheme="minorHAnsi" w:hAnsiTheme="minorHAnsi" w:cstheme="minorHAnsi"/>
              </w:rPr>
            </w:pPr>
          </w:p>
        </w:tc>
        <w:tc>
          <w:tcPr>
            <w:tcW w:w="850" w:type="dxa"/>
          </w:tcPr>
          <w:p w:rsidR="00B13304" w:rsidRPr="00B13304" w:rsidRDefault="00B13304" w:rsidP="00B13304">
            <w:pPr>
              <w:jc w:val="center"/>
              <w:rPr>
                <w:rFonts w:asciiTheme="minorHAnsi" w:hAnsiTheme="minorHAnsi" w:cstheme="minorHAnsi"/>
              </w:rPr>
            </w:pPr>
          </w:p>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Total</w:t>
            </w:r>
          </w:p>
        </w:tc>
        <w:tc>
          <w:tcPr>
            <w:tcW w:w="1701" w:type="dxa"/>
          </w:tcPr>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Yes (agree with 28,750)</w:t>
            </w:r>
          </w:p>
        </w:tc>
        <w:tc>
          <w:tcPr>
            <w:tcW w:w="1701" w:type="dxa"/>
          </w:tcPr>
          <w:p w:rsidR="00B13304" w:rsidRPr="00B13304" w:rsidRDefault="00B13304" w:rsidP="00B13304">
            <w:pPr>
              <w:jc w:val="center"/>
              <w:rPr>
                <w:rFonts w:asciiTheme="minorHAnsi" w:hAnsiTheme="minorHAnsi" w:cstheme="minorHAnsi"/>
              </w:rPr>
            </w:pPr>
            <w:r w:rsidRPr="00B13304">
              <w:rPr>
                <w:rFonts w:asciiTheme="minorHAnsi" w:hAnsiTheme="minorHAnsi" w:cstheme="minorHAnsi"/>
              </w:rPr>
              <w:t>No (disagree with 28,750)</w:t>
            </w:r>
          </w:p>
        </w:tc>
      </w:tr>
      <w:tr w:rsidR="00B13304" w:rsidRPr="00B13304" w:rsidTr="0080531D">
        <w:tc>
          <w:tcPr>
            <w:tcW w:w="2835" w:type="dxa"/>
            <w:vAlign w:val="center"/>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Members of the public</w:t>
            </w:r>
          </w:p>
        </w:tc>
        <w:tc>
          <w:tcPr>
            <w:tcW w:w="850"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203</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14</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86</w:t>
            </w:r>
          </w:p>
        </w:tc>
      </w:tr>
      <w:tr w:rsidR="00B13304" w:rsidRPr="00B13304" w:rsidTr="0080531D">
        <w:tc>
          <w:tcPr>
            <w:tcW w:w="2835" w:type="dxa"/>
            <w:vAlign w:val="center"/>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Town and Parish Councils</w:t>
            </w:r>
          </w:p>
        </w:tc>
        <w:tc>
          <w:tcPr>
            <w:tcW w:w="850"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32</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31</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69</w:t>
            </w:r>
          </w:p>
        </w:tc>
      </w:tr>
      <w:tr w:rsidR="00B13304" w:rsidRPr="00B13304" w:rsidTr="0080531D">
        <w:tc>
          <w:tcPr>
            <w:tcW w:w="2835" w:type="dxa"/>
            <w:vAlign w:val="center"/>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Local and National Interest groups</w:t>
            </w:r>
          </w:p>
        </w:tc>
        <w:tc>
          <w:tcPr>
            <w:tcW w:w="850"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22</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36</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64</w:t>
            </w:r>
          </w:p>
        </w:tc>
      </w:tr>
      <w:tr w:rsidR="00B13304" w:rsidRPr="00B13304" w:rsidTr="0080531D">
        <w:tc>
          <w:tcPr>
            <w:tcW w:w="2835" w:type="dxa"/>
            <w:vAlign w:val="center"/>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Agents, for landowners and developers</w:t>
            </w:r>
          </w:p>
        </w:tc>
        <w:tc>
          <w:tcPr>
            <w:tcW w:w="850" w:type="dxa"/>
            <w:tcBorders>
              <w:bottom w:val="single" w:sz="12" w:space="0" w:color="000000"/>
            </w:tcBorders>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170</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99</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w:t>
            </w:r>
          </w:p>
        </w:tc>
      </w:tr>
      <w:tr w:rsidR="00B13304" w:rsidRPr="00B13304" w:rsidTr="0080531D">
        <w:tc>
          <w:tcPr>
            <w:tcW w:w="2835" w:type="dxa"/>
            <w:tcBorders>
              <w:right w:val="single" w:sz="4" w:space="0" w:color="000000"/>
            </w:tcBorders>
            <w:vAlign w:val="center"/>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Total – as CPRE</w:t>
            </w:r>
          </w:p>
        </w:tc>
        <w:tc>
          <w:tcPr>
            <w:tcW w:w="850" w:type="dxa"/>
            <w:tcBorders>
              <w:top w:val="single" w:sz="12" w:space="0" w:color="000000"/>
              <w:left w:val="single" w:sz="4" w:space="0" w:color="000000"/>
              <w:bottom w:val="single" w:sz="12" w:space="0" w:color="000000"/>
              <w:right w:val="single" w:sz="4" w:space="0" w:color="000000"/>
            </w:tcBorders>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427</w:t>
            </w:r>
          </w:p>
        </w:tc>
        <w:tc>
          <w:tcPr>
            <w:tcW w:w="1701" w:type="dxa"/>
            <w:tcBorders>
              <w:left w:val="single" w:sz="4" w:space="0" w:color="000000"/>
            </w:tcBorders>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50</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50</w:t>
            </w:r>
          </w:p>
        </w:tc>
      </w:tr>
      <w:tr w:rsidR="00B13304" w:rsidRPr="00B13304" w:rsidTr="0080531D">
        <w:tc>
          <w:tcPr>
            <w:tcW w:w="2835" w:type="dxa"/>
            <w:vAlign w:val="center"/>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Total – as CPRE, excluding identical responses from agents</w:t>
            </w:r>
          </w:p>
        </w:tc>
        <w:tc>
          <w:tcPr>
            <w:tcW w:w="850" w:type="dxa"/>
            <w:tcBorders>
              <w:top w:val="single" w:sz="12" w:space="0" w:color="000000"/>
              <w:bottom w:val="single" w:sz="4" w:space="0" w:color="000000"/>
            </w:tcBorders>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388</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45</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55</w:t>
            </w:r>
          </w:p>
        </w:tc>
      </w:tr>
      <w:tr w:rsidR="00B13304" w:rsidRPr="00B13304" w:rsidTr="0080531D">
        <w:tc>
          <w:tcPr>
            <w:tcW w:w="2835" w:type="dxa"/>
            <w:vAlign w:val="center"/>
          </w:tcPr>
          <w:p w:rsidR="00B13304" w:rsidRPr="00B13304" w:rsidRDefault="00B13304" w:rsidP="00B13304">
            <w:pPr>
              <w:autoSpaceDE w:val="0"/>
              <w:autoSpaceDN w:val="0"/>
              <w:adjustRightInd w:val="0"/>
              <w:spacing w:before="60" w:after="60" w:line="259"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Total – as Shropshire Council</w:t>
            </w:r>
          </w:p>
        </w:tc>
        <w:tc>
          <w:tcPr>
            <w:tcW w:w="850" w:type="dxa"/>
            <w:tcBorders>
              <w:top w:val="single" w:sz="4" w:space="0" w:color="000000"/>
            </w:tcBorders>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418</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48</w:t>
            </w:r>
          </w:p>
        </w:tc>
        <w:tc>
          <w:tcPr>
            <w:tcW w:w="1701" w:type="dxa"/>
            <w:vAlign w:val="center"/>
          </w:tcPr>
          <w:p w:rsidR="00B13304" w:rsidRPr="00B13304" w:rsidRDefault="00B13304" w:rsidP="00B13304">
            <w:pPr>
              <w:autoSpaceDE w:val="0"/>
              <w:autoSpaceDN w:val="0"/>
              <w:adjustRightInd w:val="0"/>
              <w:spacing w:before="60" w:after="60" w:line="259"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52</w:t>
            </w:r>
          </w:p>
        </w:tc>
      </w:tr>
    </w:tbl>
    <w:p w:rsidR="00B13304" w:rsidRPr="00B13304" w:rsidRDefault="00B13304" w:rsidP="00B13304">
      <w:pPr>
        <w:rPr>
          <w:rFonts w:asciiTheme="minorHAnsi" w:hAnsiTheme="minorHAnsi" w:cstheme="minorHAnsi"/>
        </w:rPr>
      </w:pP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Again, these results can be expressed pictorially in the charts overleaf:</w:t>
      </w:r>
      <w:r w:rsidRPr="00B13304">
        <w:rPr>
          <w:rFonts w:asciiTheme="minorHAnsi" w:eastAsiaTheme="minorHAnsi" w:hAnsiTheme="minorHAnsi" w:cstheme="minorHAnsi"/>
        </w:rPr>
        <w:br w:type="page"/>
      </w: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rPr>
      </w:pPr>
      <w:r w:rsidRPr="00B13304">
        <w:rPr>
          <w:rFonts w:eastAsiaTheme="minorHAnsi" w:cstheme="minorBidi"/>
          <w:noProof/>
          <w:szCs w:val="22"/>
          <w:lang w:eastAsia="en-GB"/>
        </w:rPr>
        <w:lastRenderedPageBreak/>
        <w:drawing>
          <wp:inline distT="0" distB="0" distL="0" distR="0" wp14:anchorId="7897E452" wp14:editId="761F16F2">
            <wp:extent cx="2700000" cy="25200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B13304">
        <w:rPr>
          <w:rFonts w:asciiTheme="minorHAnsi" w:eastAsiaTheme="minorHAnsi" w:hAnsiTheme="minorHAnsi" w:cstheme="minorHAnsi"/>
        </w:rPr>
        <w:t xml:space="preserve">    </w:t>
      </w:r>
      <w:r w:rsidRPr="00B13304">
        <w:rPr>
          <w:rFonts w:eastAsiaTheme="minorHAnsi" w:cstheme="minorBidi"/>
          <w:noProof/>
          <w:szCs w:val="22"/>
          <w:lang w:eastAsia="en-GB"/>
        </w:rPr>
        <w:drawing>
          <wp:inline distT="0" distB="0" distL="0" distR="0" wp14:anchorId="21C0372E" wp14:editId="66119D86">
            <wp:extent cx="2700000" cy="25200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rPr>
      </w:pPr>
      <w:r w:rsidRPr="00B13304">
        <w:rPr>
          <w:rFonts w:eastAsiaTheme="minorHAnsi" w:cstheme="minorBidi"/>
          <w:noProof/>
          <w:szCs w:val="22"/>
          <w:lang w:eastAsia="en-GB"/>
        </w:rPr>
        <w:drawing>
          <wp:inline distT="0" distB="0" distL="0" distR="0" wp14:anchorId="4CD51843" wp14:editId="2610A27A">
            <wp:extent cx="2700000" cy="25200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B13304">
        <w:rPr>
          <w:rFonts w:asciiTheme="minorHAnsi" w:eastAsiaTheme="minorHAnsi" w:hAnsiTheme="minorHAnsi" w:cstheme="minorHAnsi"/>
        </w:rPr>
        <w:t xml:space="preserve">    </w:t>
      </w:r>
      <w:r w:rsidRPr="00B13304">
        <w:rPr>
          <w:rFonts w:eastAsiaTheme="minorHAnsi" w:cstheme="minorBidi"/>
          <w:noProof/>
          <w:szCs w:val="22"/>
          <w:lang w:eastAsia="en-GB"/>
        </w:rPr>
        <w:drawing>
          <wp:inline distT="0" distB="0" distL="0" distR="0" wp14:anchorId="6735D784" wp14:editId="1799E1CF">
            <wp:extent cx="2700000" cy="25200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rPr>
      </w:pPr>
      <w:r w:rsidRPr="00B13304">
        <w:rPr>
          <w:rFonts w:eastAsiaTheme="minorHAnsi" w:cstheme="minorBidi"/>
          <w:noProof/>
          <w:szCs w:val="22"/>
          <w:lang w:eastAsia="en-GB"/>
        </w:rPr>
        <w:drawing>
          <wp:inline distT="0" distB="0" distL="0" distR="0" wp14:anchorId="05788989" wp14:editId="7C40FD3F">
            <wp:extent cx="2700000" cy="25200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B13304">
        <w:rPr>
          <w:rFonts w:asciiTheme="minorHAnsi" w:eastAsiaTheme="minorHAnsi" w:hAnsiTheme="minorHAnsi" w:cstheme="minorHAnsi"/>
        </w:rPr>
        <w:t xml:space="preserve">    </w:t>
      </w:r>
      <w:r w:rsidRPr="00B13304">
        <w:rPr>
          <w:rFonts w:eastAsiaTheme="minorHAnsi" w:cstheme="minorBidi"/>
          <w:noProof/>
          <w:szCs w:val="22"/>
          <w:lang w:eastAsia="en-GB"/>
        </w:rPr>
        <w:drawing>
          <wp:inline distT="0" distB="0" distL="0" distR="0" wp14:anchorId="644047BB" wp14:editId="110CB5DD">
            <wp:extent cx="2700000" cy="25200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 xml:space="preserve">These results are again stark.  Members of the Public, and Town and Parish Councils represented 55% of all respondents expressing a view.  Of these, over 5 times as many disagreed with the Council’s preference for 28,750 houses as those who agreed with it.  86% of Members of the Public and 69% of Town and Parish Councils disagreed with the </w:t>
      </w:r>
      <w:r w:rsidRPr="00B13304">
        <w:rPr>
          <w:rFonts w:asciiTheme="minorHAnsi" w:eastAsiaTheme="minorHAnsi" w:hAnsiTheme="minorHAnsi" w:cstheme="minorHAnsi"/>
        </w:rPr>
        <w:lastRenderedPageBreak/>
        <w:t>Council’s preference.  Unsurprisingly, as a group, it was only the agents (acting for landowners and developers) who agreed with the Council’s high preference, to the tune of 99%.</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But again, because of the high volume of responses from agents, many of which were duplicate and even identical responses, the average response rates published by Shropshire Council appear to be more evenly spread between “Yes” and “No” responses.</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It is again absolutely clear; both the general public, and Town and Parish Councils, want lower growth rates than Shropshire Council is promoting, but agents and developers are all for them.</w:t>
      </w:r>
    </w:p>
    <w:p w:rsidR="00B13304" w:rsidRPr="00B13304" w:rsidRDefault="00B13304" w:rsidP="0055456B">
      <w:pPr>
        <w:rPr>
          <w:rFonts w:asciiTheme="minorHAnsi" w:eastAsiaTheme="majorEastAsia" w:hAnsiTheme="minorHAnsi" w:cstheme="minorHAnsi"/>
          <w:b/>
          <w:color w:val="0070C0"/>
          <w:sz w:val="36"/>
          <w:szCs w:val="36"/>
          <w:lang w:eastAsia="en-GB"/>
        </w:rPr>
      </w:pPr>
      <w:bookmarkStart w:id="72" w:name="_Toc517888046"/>
      <w:r w:rsidRPr="00B13304">
        <w:rPr>
          <w:rFonts w:asciiTheme="minorHAnsi" w:eastAsiaTheme="majorEastAsia" w:hAnsiTheme="minorHAnsi" w:cstheme="minorHAnsi"/>
          <w:b/>
          <w:color w:val="0070C0"/>
          <w:sz w:val="36"/>
          <w:szCs w:val="36"/>
          <w:lang w:eastAsia="en-GB"/>
        </w:rPr>
        <w:t>Discussion</w:t>
      </w:r>
      <w:bookmarkEnd w:id="72"/>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The interpretation of these results, and whether Shropshire Council should act on them, seems to boil down to what is considered to be the nature of a consultation.</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 xml:space="preserve">Ostensibly, the purpose of the Consultation appears to be to find out the views of Shropshire Council’s constituency, including those of the general public and of Town and Parish Councils.  </w:t>
      </w:r>
    </w:p>
    <w:p w:rsidR="00B13304" w:rsidRPr="00B13304" w:rsidRDefault="00B13304" w:rsidP="002427CD">
      <w:pPr>
        <w:numPr>
          <w:ilvl w:val="1"/>
          <w:numId w:val="2"/>
        </w:numPr>
        <w:autoSpaceDE w:val="0"/>
        <w:autoSpaceDN w:val="0"/>
        <w:adjustRightInd w:val="0"/>
        <w:spacing w:after="6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rPr>
        <w:t>The scope of the consultations as published by Shropshire Council was:</w:t>
      </w:r>
    </w:p>
    <w:p w:rsidR="00B13304" w:rsidRPr="00B13304" w:rsidRDefault="00B13304" w:rsidP="00B13304">
      <w:pPr>
        <w:autoSpaceDE w:val="0"/>
        <w:autoSpaceDN w:val="0"/>
        <w:adjustRightInd w:val="0"/>
        <w:spacing w:after="60" w:line="276" w:lineRule="auto"/>
        <w:rPr>
          <w:rFonts w:asciiTheme="minorHAnsi" w:eastAsiaTheme="minorHAnsi" w:hAnsiTheme="minorHAnsi" w:cstheme="minorHAnsi"/>
          <w:lang w:eastAsia="en-GB"/>
        </w:rPr>
      </w:pPr>
      <w:r w:rsidRPr="00B13304">
        <w:rPr>
          <w:rFonts w:asciiTheme="minorHAnsi" w:eastAsiaTheme="minorHAnsi" w:hAnsiTheme="minorHAnsi" w:cstheme="minorHAnsi"/>
        </w:rPr>
        <w:t>For the Issues and Strategic Options consultation:</w:t>
      </w:r>
    </w:p>
    <w:p w:rsidR="00B13304" w:rsidRPr="00B13304" w:rsidRDefault="00B13304" w:rsidP="00B13304">
      <w:pPr>
        <w:autoSpaceDE w:val="0"/>
        <w:autoSpaceDN w:val="0"/>
        <w:adjustRightInd w:val="0"/>
        <w:spacing w:after="60" w:line="276" w:lineRule="auto"/>
        <w:rPr>
          <w:rFonts w:asciiTheme="minorHAnsi" w:eastAsiaTheme="minorHAnsi" w:hAnsiTheme="minorHAnsi" w:cstheme="minorHAnsi"/>
          <w:i/>
        </w:rPr>
      </w:pPr>
      <w:r w:rsidRPr="00B13304">
        <w:rPr>
          <w:rFonts w:asciiTheme="minorHAnsi" w:eastAsiaTheme="minorHAnsi" w:hAnsiTheme="minorHAnsi" w:cstheme="minorHAnsi"/>
          <w:i/>
        </w:rPr>
        <w:t>“We are seeking views of all parties with an interest in the proposals, so that relevant views and evidence can be taken into account in deciding the best way forward.”</w:t>
      </w:r>
    </w:p>
    <w:p w:rsidR="00B13304" w:rsidRPr="00B13304" w:rsidRDefault="00B13304" w:rsidP="00B13304">
      <w:pPr>
        <w:autoSpaceDE w:val="0"/>
        <w:autoSpaceDN w:val="0"/>
        <w:adjustRightInd w:val="0"/>
        <w:spacing w:after="60" w:line="276" w:lineRule="auto"/>
        <w:rPr>
          <w:rFonts w:asciiTheme="minorHAnsi" w:eastAsiaTheme="minorHAnsi" w:hAnsiTheme="minorHAnsi" w:cstheme="minorHAnsi"/>
          <w:lang w:eastAsia="en-GB"/>
        </w:rPr>
      </w:pPr>
      <w:r w:rsidRPr="00B13304">
        <w:rPr>
          <w:rFonts w:asciiTheme="minorHAnsi" w:eastAsiaTheme="minorHAnsi" w:hAnsiTheme="minorHAnsi" w:cstheme="minorHAnsi"/>
        </w:rPr>
        <w:t>For the Preferred Scale and Distribution of Development consultation:</w:t>
      </w:r>
    </w:p>
    <w:p w:rsidR="00B13304" w:rsidRPr="00B13304" w:rsidRDefault="00B13304" w:rsidP="00B13304">
      <w:pPr>
        <w:autoSpaceDE w:val="0"/>
        <w:autoSpaceDN w:val="0"/>
        <w:adjustRightInd w:val="0"/>
        <w:spacing w:after="120" w:line="276" w:lineRule="auto"/>
        <w:rPr>
          <w:rFonts w:asciiTheme="minorHAnsi" w:eastAsiaTheme="minorHAnsi" w:hAnsiTheme="minorHAnsi" w:cstheme="minorHAnsi"/>
          <w:i/>
        </w:rPr>
      </w:pPr>
      <w:r w:rsidRPr="00B13304">
        <w:rPr>
          <w:rFonts w:asciiTheme="minorHAnsi" w:eastAsiaTheme="minorHAnsi" w:hAnsiTheme="minorHAnsi" w:cstheme="minorHAnsi"/>
          <w:i/>
        </w:rPr>
        <w:t>“We are seeking views of all parties with an interest in the preferred approach to planning for these issues, so that relevant views and evidence can be taken into account in deciding the best way forward.”</w:t>
      </w:r>
    </w:p>
    <w:p w:rsidR="00B13304" w:rsidRPr="00B13304" w:rsidRDefault="00B13304" w:rsidP="002427CD">
      <w:pPr>
        <w:numPr>
          <w:ilvl w:val="1"/>
          <w:numId w:val="2"/>
        </w:numPr>
        <w:autoSpaceDE w:val="0"/>
        <w:autoSpaceDN w:val="0"/>
        <w:adjustRightInd w:val="0"/>
        <w:spacing w:after="12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We maintain that the real purpose of the consultation should be to establish the views of the Shropshire electorate as to the best outcome for the town and county, and the answer to this must come from Individuals, representatives of Town and Parish Councils and other interest groups.</w:t>
      </w:r>
    </w:p>
    <w:p w:rsidR="00B13304" w:rsidRPr="00B13304" w:rsidRDefault="00B13304" w:rsidP="002427CD">
      <w:pPr>
        <w:numPr>
          <w:ilvl w:val="1"/>
          <w:numId w:val="2"/>
        </w:numPr>
        <w:autoSpaceDE w:val="0"/>
        <w:autoSpaceDN w:val="0"/>
        <w:adjustRightInd w:val="0"/>
        <w:spacing w:after="12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There is little to be gained by seeking the views of agents, landowners and developers; their view is likely to be heavily biased towards maximum growth because it means employment opportunities, growth for their organisations, increased turnover and improved profitability.  To some extent this applies to some Local and National Interest Groups as well.</w:t>
      </w:r>
    </w:p>
    <w:p w:rsidR="00B13304" w:rsidRPr="00B13304" w:rsidRDefault="00B13304" w:rsidP="002427CD">
      <w:pPr>
        <w:numPr>
          <w:ilvl w:val="1"/>
          <w:numId w:val="2"/>
        </w:numPr>
        <w:autoSpaceDE w:val="0"/>
        <w:autoSpaceDN w:val="0"/>
        <w:adjustRightInd w:val="0"/>
        <w:spacing w:after="120" w:line="276" w:lineRule="auto"/>
        <w:ind w:left="0" w:hanging="567"/>
        <w:rPr>
          <w:rFonts w:asciiTheme="minorHAnsi" w:eastAsiaTheme="minorHAnsi" w:hAnsiTheme="minorHAnsi" w:cstheme="minorHAnsi"/>
          <w:bCs/>
        </w:rPr>
      </w:pPr>
      <w:r w:rsidRPr="00B13304">
        <w:rPr>
          <w:rFonts w:asciiTheme="minorHAnsi" w:eastAsiaTheme="minorHAnsi" w:hAnsiTheme="minorHAnsi" w:cstheme="minorHAnsi"/>
        </w:rPr>
        <w:t xml:space="preserve">We queried the consultation process in our submission for the Preferred Options consultation, particularly the fact that after the Issues and Strategic Options stage the </w:t>
      </w:r>
      <w:r w:rsidRPr="00B13304">
        <w:rPr>
          <w:rFonts w:asciiTheme="minorHAnsi" w:eastAsiaTheme="minorHAnsi" w:hAnsiTheme="minorHAnsi" w:cstheme="minorHAnsi"/>
        </w:rPr>
        <w:lastRenderedPageBreak/>
        <w:t xml:space="preserve">popular preference for the lowest housing targets had been over-ridden by the Council in favour of the highest option. </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At paragraph 2.54 of our response we recognised that Shropshire Council’s reasons for acting in this non-democratic way were that (1) a consultation is not a referendum, (2) responses to consultations do not stand alone, but that headline preferences expressed by a proportion of respondents are weighed both against (3) specific comments made, and (4) against existing and emerging evidence.</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Shropshire Council continues to proclaim that a consultation is not a referendum.  We, on the other hand, maintain that if an electorate is asked a direct multiple-choice question as it was in Question 4 of the Issues and Strategic Options consultation, and in Question 3 of the Preferred Scale and Distribution of Development consultation, then the Council should not simply over-rule the results of the resulting poll.</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That is the more so when the results of those polls are as stark as our further analysis of the consultation results has shown them to be.  It is clear that all elements of the Council’s electorate are heavily against their high targets, except for that element with a vested interest in the high targets, namely agents, developers and landowners.</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The Council has not made it evident, in over-riding the views of its electorate, how it has weighed those clear dissenting views both (1) against specific comments made, and (2) against existing and emerging evidence.  The implication is that it has ignored its electorate’s views in favour of those of agents and developers, in order to back up its Economic Growth Strategy and its high targets, which it launched part way through the Issues and Strategic Options consultation.</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rPr>
      </w:pPr>
      <w:r w:rsidRPr="00B13304">
        <w:rPr>
          <w:rFonts w:asciiTheme="minorHAnsi" w:eastAsiaTheme="minorHAnsi" w:hAnsiTheme="minorHAnsi" w:cstheme="minorHAnsi"/>
        </w:rPr>
        <w:t xml:space="preserve">It can be argued that landowners are entitled to have their agents submit responses on their behalf, but to have so many identical and similar responses from agents allowed in Shropshire Council’s results count seems to us to be a distortion of the consultation response analysis. </w:t>
      </w:r>
    </w:p>
    <w:p w:rsidR="00B13304" w:rsidRPr="00B13304" w:rsidRDefault="00B13304" w:rsidP="0055456B">
      <w:pPr>
        <w:rPr>
          <w:rFonts w:asciiTheme="minorHAnsi" w:eastAsiaTheme="majorEastAsia" w:hAnsiTheme="minorHAnsi" w:cstheme="minorHAnsi"/>
          <w:b/>
          <w:color w:val="0070C0"/>
          <w:sz w:val="36"/>
          <w:szCs w:val="36"/>
          <w:lang w:eastAsia="en-GB"/>
        </w:rPr>
      </w:pPr>
      <w:bookmarkStart w:id="73" w:name="_Toc517888047"/>
      <w:r w:rsidRPr="00B13304">
        <w:rPr>
          <w:rFonts w:asciiTheme="minorHAnsi" w:eastAsiaTheme="majorEastAsia" w:hAnsiTheme="minorHAnsi" w:cstheme="minorHAnsi"/>
          <w:b/>
          <w:color w:val="0070C0"/>
          <w:sz w:val="36"/>
          <w:szCs w:val="36"/>
          <w:lang w:eastAsia="en-GB"/>
        </w:rPr>
        <w:t>Conclusion</w:t>
      </w:r>
      <w:bookmarkEnd w:id="73"/>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Our further analysis clearly shows that Members of the Public, Town and Parish Councils and Local and National Interest groups are all overwhelmingly in favour of lower housing targets than those preferred by Shropshire Council.  It is only agents as a group (representing landowners and developers) that are in favour of the high targets.</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Responses from agents, landowners and developers as counted by Shropshire Council, included many duplicate and identical responses.  The numbers involved were as follows (on the next page):</w:t>
      </w: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lang w:eastAsia="en-GB"/>
        </w:rPr>
      </w:pPr>
    </w:p>
    <w:p w:rsidR="00B13304" w:rsidRPr="00B13304" w:rsidRDefault="00B13304" w:rsidP="00B13304">
      <w:pPr>
        <w:autoSpaceDE w:val="0"/>
        <w:autoSpaceDN w:val="0"/>
        <w:adjustRightInd w:val="0"/>
        <w:spacing w:before="240" w:after="240" w:line="276" w:lineRule="auto"/>
        <w:rPr>
          <w:rFonts w:asciiTheme="minorHAnsi" w:eastAsiaTheme="minorHAnsi" w:hAnsiTheme="minorHAnsi" w:cstheme="minorHAnsi"/>
          <w:lang w:eastAsia="en-GB"/>
        </w:rPr>
      </w:pPr>
    </w:p>
    <w:tbl>
      <w:tblPr>
        <w:tblStyle w:val="TableGrid1"/>
        <w:tblW w:w="0" w:type="auto"/>
        <w:tblLook w:val="04A0" w:firstRow="1" w:lastRow="0" w:firstColumn="1" w:lastColumn="0" w:noHBand="0" w:noVBand="1"/>
      </w:tblPr>
      <w:tblGrid>
        <w:gridCol w:w="2993"/>
        <w:gridCol w:w="2994"/>
        <w:gridCol w:w="2994"/>
      </w:tblGrid>
      <w:tr w:rsidR="00B13304" w:rsidRPr="00B13304" w:rsidTr="0080531D">
        <w:tc>
          <w:tcPr>
            <w:tcW w:w="2993" w:type="dxa"/>
          </w:tcPr>
          <w:p w:rsidR="00B13304" w:rsidRPr="00B13304" w:rsidRDefault="00B13304" w:rsidP="00B13304">
            <w:pPr>
              <w:autoSpaceDE w:val="0"/>
              <w:autoSpaceDN w:val="0"/>
              <w:adjustRightInd w:val="0"/>
              <w:spacing w:before="120" w:after="120" w:line="276" w:lineRule="auto"/>
              <w:rPr>
                <w:rFonts w:asciiTheme="minorHAnsi" w:eastAsiaTheme="minorHAnsi" w:hAnsiTheme="minorHAnsi" w:cstheme="minorHAnsi"/>
                <w:lang w:eastAsia="en-GB"/>
              </w:rPr>
            </w:pPr>
          </w:p>
        </w:tc>
        <w:tc>
          <w:tcPr>
            <w:tcW w:w="2994" w:type="dxa"/>
          </w:tcPr>
          <w:p w:rsidR="00B13304" w:rsidRPr="00B13304" w:rsidRDefault="00B13304" w:rsidP="00B13304">
            <w:pPr>
              <w:autoSpaceDE w:val="0"/>
              <w:autoSpaceDN w:val="0"/>
              <w:adjustRightInd w:val="0"/>
              <w:spacing w:before="120" w:after="120" w:line="276"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Agents’ responses as counted by Shropshire Council</w:t>
            </w:r>
          </w:p>
        </w:tc>
        <w:tc>
          <w:tcPr>
            <w:tcW w:w="2994" w:type="dxa"/>
          </w:tcPr>
          <w:p w:rsidR="00B13304" w:rsidRPr="00B13304" w:rsidRDefault="00B13304" w:rsidP="00B13304">
            <w:pPr>
              <w:autoSpaceDE w:val="0"/>
              <w:autoSpaceDN w:val="0"/>
              <w:adjustRightInd w:val="0"/>
              <w:spacing w:before="120" w:after="120" w:line="276"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Actual number of firms of agents involved</w:t>
            </w:r>
          </w:p>
        </w:tc>
      </w:tr>
      <w:tr w:rsidR="00B13304" w:rsidRPr="00B13304" w:rsidTr="0080531D">
        <w:tc>
          <w:tcPr>
            <w:tcW w:w="2993" w:type="dxa"/>
          </w:tcPr>
          <w:p w:rsidR="00B13304" w:rsidRPr="00B13304" w:rsidRDefault="00B13304" w:rsidP="00B13304">
            <w:pPr>
              <w:autoSpaceDE w:val="0"/>
              <w:autoSpaceDN w:val="0"/>
              <w:adjustRightInd w:val="0"/>
              <w:spacing w:before="120" w:after="120" w:line="276"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Issues and Strategic Options</w:t>
            </w:r>
          </w:p>
        </w:tc>
        <w:tc>
          <w:tcPr>
            <w:tcW w:w="2994" w:type="dxa"/>
          </w:tcPr>
          <w:p w:rsidR="00B13304" w:rsidRPr="00B13304" w:rsidRDefault="00B13304" w:rsidP="00B13304">
            <w:pPr>
              <w:autoSpaceDE w:val="0"/>
              <w:autoSpaceDN w:val="0"/>
              <w:adjustRightInd w:val="0"/>
              <w:spacing w:before="120" w:after="120" w:line="276"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121</w:t>
            </w:r>
          </w:p>
        </w:tc>
        <w:tc>
          <w:tcPr>
            <w:tcW w:w="2994" w:type="dxa"/>
          </w:tcPr>
          <w:p w:rsidR="00B13304" w:rsidRPr="00B13304" w:rsidRDefault="00B13304" w:rsidP="00B13304">
            <w:pPr>
              <w:autoSpaceDE w:val="0"/>
              <w:autoSpaceDN w:val="0"/>
              <w:adjustRightInd w:val="0"/>
              <w:spacing w:before="120" w:after="120" w:line="276"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38</w:t>
            </w:r>
          </w:p>
        </w:tc>
      </w:tr>
      <w:tr w:rsidR="00B13304" w:rsidRPr="00B13304" w:rsidTr="0080531D">
        <w:tc>
          <w:tcPr>
            <w:tcW w:w="2993" w:type="dxa"/>
          </w:tcPr>
          <w:p w:rsidR="00B13304" w:rsidRPr="00B13304" w:rsidRDefault="00B13304" w:rsidP="00B13304">
            <w:pPr>
              <w:autoSpaceDE w:val="0"/>
              <w:autoSpaceDN w:val="0"/>
              <w:adjustRightInd w:val="0"/>
              <w:spacing w:before="120" w:after="120" w:line="276" w:lineRule="auto"/>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Preferred Scale and Distribution of Development</w:t>
            </w:r>
          </w:p>
        </w:tc>
        <w:tc>
          <w:tcPr>
            <w:tcW w:w="2994" w:type="dxa"/>
          </w:tcPr>
          <w:p w:rsidR="00B13304" w:rsidRPr="00B13304" w:rsidRDefault="00B13304" w:rsidP="00B13304">
            <w:pPr>
              <w:autoSpaceDE w:val="0"/>
              <w:autoSpaceDN w:val="0"/>
              <w:adjustRightInd w:val="0"/>
              <w:spacing w:before="120" w:after="120" w:line="276"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206</w:t>
            </w:r>
          </w:p>
        </w:tc>
        <w:tc>
          <w:tcPr>
            <w:tcW w:w="2994" w:type="dxa"/>
          </w:tcPr>
          <w:p w:rsidR="00B13304" w:rsidRPr="00B13304" w:rsidRDefault="00B13304" w:rsidP="00B13304">
            <w:pPr>
              <w:autoSpaceDE w:val="0"/>
              <w:autoSpaceDN w:val="0"/>
              <w:adjustRightInd w:val="0"/>
              <w:spacing w:before="120" w:after="120" w:line="276" w:lineRule="auto"/>
              <w:jc w:val="center"/>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54</w:t>
            </w:r>
          </w:p>
        </w:tc>
      </w:tr>
    </w:tbl>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 xml:space="preserve">All of the housing options offered by Shropshire Council are in excess of what they claim to be the minimum required by the Government’s new methodology (currently 25,400 dwellings), although there are circumstances in which that Government figure can be reduced.  There therefore appears to be no reason why the Council cannot adopt the lower targets that its electorate overwhelmingly prefers.  </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One conclusion that might be drawn is that the Council seems intent on promoting the higher targets regardless of its electorate’s views, for reasons of promoting its own economic agenda.  CPRE argues that the views expressed by the public, local interest groups and town and parish councils are equally as valid as the Council view and may in the long term be more soundly based than those of the Council.</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lang w:eastAsia="en-GB"/>
        </w:rPr>
      </w:pPr>
      <w:r w:rsidRPr="00B13304">
        <w:rPr>
          <w:rFonts w:asciiTheme="minorHAnsi" w:eastAsiaTheme="minorHAnsi" w:hAnsiTheme="minorHAnsi" w:cstheme="minorHAnsi"/>
          <w:lang w:eastAsia="en-GB"/>
        </w:rPr>
        <w:t>Another conclusion that might be drawn is that the Council appears to favour the views of agents and developers to the blatant disregard of the local population.</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sz w:val="22"/>
          <w:szCs w:val="22"/>
          <w:lang w:eastAsia="en-GB"/>
        </w:rPr>
      </w:pPr>
      <w:r w:rsidRPr="00B13304">
        <w:rPr>
          <w:rFonts w:asciiTheme="minorHAnsi" w:eastAsiaTheme="minorHAnsi" w:hAnsiTheme="minorHAnsi" w:cstheme="minorHAnsi"/>
        </w:rPr>
        <w:t>CPRE Shropshire believes that in electing for the “High Growth” option as its “Preferred Option” Shropshire Council has deliberately ignored the clear majority view of those for whom the Consultations should be intended.</w:t>
      </w:r>
    </w:p>
    <w:p w:rsidR="00B13304" w:rsidRPr="00B13304" w:rsidRDefault="00B13304" w:rsidP="002427CD">
      <w:pPr>
        <w:numPr>
          <w:ilvl w:val="1"/>
          <w:numId w:val="2"/>
        </w:numPr>
        <w:autoSpaceDE w:val="0"/>
        <w:autoSpaceDN w:val="0"/>
        <w:adjustRightInd w:val="0"/>
        <w:spacing w:before="240" w:after="240" w:line="276" w:lineRule="auto"/>
        <w:ind w:left="0" w:hanging="567"/>
        <w:rPr>
          <w:rFonts w:asciiTheme="minorHAnsi" w:eastAsiaTheme="minorHAnsi" w:hAnsiTheme="minorHAnsi" w:cstheme="minorHAnsi"/>
          <w:sz w:val="22"/>
          <w:szCs w:val="22"/>
          <w:lang w:eastAsia="en-GB"/>
        </w:rPr>
      </w:pPr>
      <w:r w:rsidRPr="00B13304">
        <w:rPr>
          <w:rFonts w:asciiTheme="minorHAnsi" w:eastAsiaTheme="minorHAnsi" w:hAnsiTheme="minorHAnsi" w:cstheme="minorHAnsi"/>
        </w:rPr>
        <w:t>Shropshire Council should therefore take proper note of the views of its electorate and opt for the lower housing targets that that electorate clearly and demonstrably prefers, rather than persisting with its current high preferred option of 28,750 houses for the period of 2016 – 36.</w:t>
      </w:r>
    </w:p>
    <w:p w:rsidR="00B96F72" w:rsidRPr="00B96F72" w:rsidRDefault="00B96F72" w:rsidP="00B96F72">
      <w:pPr>
        <w:autoSpaceDE w:val="0"/>
        <w:autoSpaceDN w:val="0"/>
        <w:adjustRightInd w:val="0"/>
        <w:spacing w:before="240" w:after="240" w:line="276" w:lineRule="auto"/>
        <w:rPr>
          <w:rFonts w:asciiTheme="minorHAnsi" w:eastAsiaTheme="minorHAnsi" w:hAnsiTheme="minorHAnsi" w:cstheme="minorHAnsi"/>
          <w:sz w:val="22"/>
          <w:lang w:eastAsia="en-GB"/>
        </w:rPr>
      </w:pPr>
    </w:p>
    <w:p w:rsidR="00B96F72" w:rsidRPr="00B96F72" w:rsidRDefault="00B96F72" w:rsidP="00B96F72">
      <w:pPr>
        <w:autoSpaceDE w:val="0"/>
        <w:autoSpaceDN w:val="0"/>
        <w:adjustRightInd w:val="0"/>
        <w:spacing w:before="240" w:after="240" w:line="276" w:lineRule="auto"/>
        <w:rPr>
          <w:rFonts w:asciiTheme="minorHAnsi" w:eastAsiaTheme="minorHAnsi" w:hAnsiTheme="minorHAnsi" w:cstheme="minorHAnsi"/>
          <w:sz w:val="22"/>
          <w:lang w:eastAsia="en-GB"/>
        </w:rPr>
        <w:sectPr w:rsidR="00B96F72" w:rsidRPr="00B96F72" w:rsidSect="00521021">
          <w:headerReference w:type="default" r:id="rId58"/>
          <w:pgSz w:w="11906" w:h="16838" w:code="9"/>
          <w:pgMar w:top="1440" w:right="1440" w:bottom="851" w:left="1701" w:header="709" w:footer="567" w:gutter="0"/>
          <w:cols w:space="708"/>
          <w:docGrid w:linePitch="360"/>
        </w:sectPr>
      </w:pPr>
    </w:p>
    <w:p w:rsidR="00B96F72" w:rsidRPr="00B96F72" w:rsidRDefault="00B96F72" w:rsidP="00B96F72">
      <w:pPr>
        <w:rPr>
          <w:rFonts w:asciiTheme="minorHAnsi" w:hAnsiTheme="minorHAnsi" w:cstheme="minorHAnsi"/>
          <w:b/>
          <w:color w:val="0070C0"/>
          <w:sz w:val="28"/>
          <w:szCs w:val="28"/>
          <w:lang w:eastAsia="en-GB"/>
        </w:rPr>
      </w:pPr>
      <w:bookmarkStart w:id="74" w:name="_Toc517888048"/>
      <w:r w:rsidRPr="00B96F72">
        <w:rPr>
          <w:rFonts w:asciiTheme="minorHAnsi" w:eastAsiaTheme="majorEastAsia" w:hAnsiTheme="minorHAnsi" w:cstheme="minorHAnsi"/>
          <w:b/>
          <w:color w:val="0070C0"/>
          <w:sz w:val="36"/>
          <w:szCs w:val="36"/>
          <w:lang w:eastAsia="en-GB"/>
        </w:rPr>
        <w:lastRenderedPageBreak/>
        <w:t>Detailed methodology for further analysis of Consultation Responses</w:t>
      </w:r>
      <w:bookmarkEnd w:id="74"/>
      <w:r w:rsidRPr="00B96F72">
        <w:rPr>
          <w:rFonts w:asciiTheme="minorHAnsi" w:hAnsiTheme="minorHAnsi" w:cstheme="minorHAnsi"/>
          <w:b/>
          <w:color w:val="0070C0"/>
          <w:sz w:val="28"/>
          <w:szCs w:val="28"/>
          <w:lang w:eastAsia="en-GB"/>
        </w:rPr>
        <w:t xml:space="preserve"> </w:t>
      </w:r>
    </w:p>
    <w:p w:rsidR="00B96F72" w:rsidRPr="00B96F72" w:rsidRDefault="00B96F72" w:rsidP="00B96F72">
      <w:pPr>
        <w:autoSpaceDE w:val="0"/>
        <w:autoSpaceDN w:val="0"/>
        <w:adjustRightInd w:val="0"/>
        <w:spacing w:before="240" w:after="240" w:line="276" w:lineRule="auto"/>
        <w:rPr>
          <w:rFonts w:asciiTheme="minorHAnsi" w:eastAsiaTheme="minorHAnsi" w:hAnsiTheme="minorHAnsi" w:cstheme="minorHAnsi"/>
          <w:i/>
          <w:sz w:val="28"/>
          <w:szCs w:val="28"/>
          <w:lang w:eastAsia="en-GB"/>
        </w:rPr>
      </w:pPr>
      <w:r w:rsidRPr="00B96F72">
        <w:rPr>
          <w:rFonts w:asciiTheme="minorHAnsi" w:hAnsiTheme="minorHAnsi" w:cstheme="minorHAnsi"/>
          <w:b/>
          <w:i/>
          <w:color w:val="0070C0"/>
          <w:sz w:val="28"/>
          <w:szCs w:val="28"/>
          <w:lang w:eastAsia="en-GB"/>
        </w:rPr>
        <w:t>Issues and Strategic Options</w:t>
      </w:r>
    </w:p>
    <w:tbl>
      <w:tblPr>
        <w:tblStyle w:val="TableGrid"/>
        <w:tblW w:w="15163" w:type="dxa"/>
        <w:tblInd w:w="113" w:type="dxa"/>
        <w:tblLook w:val="04A0" w:firstRow="1" w:lastRow="0" w:firstColumn="1" w:lastColumn="0" w:noHBand="0" w:noVBand="1"/>
      </w:tblPr>
      <w:tblGrid>
        <w:gridCol w:w="562"/>
        <w:gridCol w:w="6408"/>
        <w:gridCol w:w="8193"/>
      </w:tblGrid>
      <w:tr w:rsidR="00B96F72" w:rsidRPr="00B96F72" w:rsidTr="00B96F72">
        <w:tc>
          <w:tcPr>
            <w:tcW w:w="562" w:type="dxa"/>
          </w:tcPr>
          <w:p w:rsidR="00B96F72" w:rsidRPr="00B96F72" w:rsidRDefault="00B96F72" w:rsidP="00B96F72">
            <w:pPr>
              <w:rPr>
                <w:rFonts w:asciiTheme="minorHAnsi" w:hAnsiTheme="minorHAnsi" w:cstheme="minorHAnsi"/>
              </w:rPr>
            </w:pPr>
          </w:p>
        </w:tc>
        <w:tc>
          <w:tcPr>
            <w:tcW w:w="6408"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Action</w:t>
            </w:r>
          </w:p>
        </w:tc>
        <w:tc>
          <w:tcPr>
            <w:tcW w:w="8193"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Explanation</w:t>
            </w: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Create new Col B and enter a classification of each entry in Col C. Classifications used are:</w:t>
            </w:r>
          </w:p>
          <w:tbl>
            <w:tblPr>
              <w:tblStyle w:val="TableGrid"/>
              <w:tblW w:w="0" w:type="auto"/>
              <w:tblLook w:val="04A0" w:firstRow="1" w:lastRow="0" w:firstColumn="1" w:lastColumn="0" w:noHBand="0" w:noVBand="1"/>
            </w:tblPr>
            <w:tblGrid>
              <w:gridCol w:w="3091"/>
              <w:gridCol w:w="3091"/>
            </w:tblGrid>
            <w:tr w:rsidR="00B96F72" w:rsidRPr="00B96F72" w:rsidTr="00B96F72">
              <w:tc>
                <w:tcPr>
                  <w:tcW w:w="3091"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Shropshire Council</w:t>
                  </w:r>
                </w:p>
              </w:tc>
              <w:tc>
                <w:tcPr>
                  <w:tcW w:w="3091"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CPRE</w:t>
                  </w:r>
                </w:p>
              </w:tc>
            </w:tr>
            <w:tr w:rsidR="00B96F72" w:rsidRPr="00B96F72" w:rsidTr="00B96F72">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Individuals</w:t>
                  </w: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Individuals</w:t>
                  </w:r>
                </w:p>
              </w:tc>
            </w:tr>
            <w:tr w:rsidR="00B96F72" w:rsidRPr="00B96F72" w:rsidTr="00B96F72">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Parish Councils</w:t>
                  </w: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Local Government</w:t>
                  </w:r>
                </w:p>
              </w:tc>
            </w:tr>
            <w:tr w:rsidR="00B96F72" w:rsidRPr="00B96F72" w:rsidTr="00B96F72">
              <w:tc>
                <w:tcPr>
                  <w:tcW w:w="3091" w:type="dxa"/>
                </w:tcPr>
                <w:p w:rsidR="00B96F72" w:rsidRPr="00B96F72" w:rsidRDefault="00B96F72" w:rsidP="00B96F72">
                  <w:pPr>
                    <w:autoSpaceDE w:val="0"/>
                    <w:autoSpaceDN w:val="0"/>
                    <w:adjustRightInd w:val="0"/>
                    <w:rPr>
                      <w:rFonts w:asciiTheme="minorHAnsi" w:eastAsiaTheme="minorHAnsi" w:hAnsiTheme="minorHAnsi" w:cstheme="minorHAnsi"/>
                    </w:rPr>
                  </w:pPr>
                  <w:r w:rsidRPr="00B96F72">
                    <w:rPr>
                      <w:rFonts w:asciiTheme="minorHAnsi" w:eastAsiaTheme="minorHAnsi" w:hAnsiTheme="minorHAnsi" w:cstheme="minorHAnsi"/>
                    </w:rPr>
                    <w:t xml:space="preserve">Landowners/developers (many of which were represented by planning agents) </w:t>
                  </w:r>
                </w:p>
                <w:p w:rsidR="00B96F72" w:rsidRPr="00B96F72" w:rsidRDefault="00B96F72" w:rsidP="00B96F72">
                  <w:pPr>
                    <w:rPr>
                      <w:rFonts w:asciiTheme="minorHAnsi" w:hAnsiTheme="minorHAnsi" w:cstheme="minorHAnsi"/>
                    </w:rPr>
                  </w:pP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Landowners, developers and agents</w:t>
                  </w:r>
                </w:p>
              </w:tc>
            </w:tr>
            <w:tr w:rsidR="00B96F72" w:rsidRPr="00B96F72" w:rsidTr="00B96F72">
              <w:tc>
                <w:tcPr>
                  <w:tcW w:w="3091" w:type="dxa"/>
                </w:tcPr>
                <w:p w:rsidR="00B96F72" w:rsidRPr="00B96F72" w:rsidRDefault="00B96F72" w:rsidP="00B96F72">
                  <w:pPr>
                    <w:rPr>
                      <w:rFonts w:asciiTheme="minorHAnsi" w:hAnsiTheme="minorHAnsi" w:cstheme="minorHAnsi"/>
                    </w:rPr>
                  </w:pP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Local and national interest groups (including Corporate)</w:t>
                  </w:r>
                </w:p>
              </w:tc>
            </w:tr>
            <w:tr w:rsidR="00B96F72" w:rsidRPr="00B96F72" w:rsidTr="00B96F72">
              <w:tc>
                <w:tcPr>
                  <w:tcW w:w="3091" w:type="dxa"/>
                </w:tcPr>
                <w:p w:rsidR="00B96F72" w:rsidRPr="00B96F72" w:rsidRDefault="00B96F72" w:rsidP="00B96F72">
                  <w:pPr>
                    <w:rPr>
                      <w:rFonts w:asciiTheme="minorHAnsi" w:hAnsiTheme="minorHAnsi" w:cstheme="minorHAnsi"/>
                    </w:rPr>
                  </w:pP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Duplicates, wholly blank entries, and identical narratives for Q4</w:t>
                  </w:r>
                </w:p>
              </w:tc>
            </w:tr>
          </w:tbl>
          <w:p w:rsidR="00B96F72" w:rsidRPr="00B96F72" w:rsidRDefault="00B96F72" w:rsidP="00B96F72">
            <w:pPr>
              <w:rPr>
                <w:rFonts w:asciiTheme="minorHAnsi" w:hAnsiTheme="minorHAnsi" w:cstheme="minorHAnsi"/>
              </w:rPr>
            </w:pP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To categorise the nature of each response, and to identify the duplicate entries.</w:t>
            </w: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Remove “Wrap text” formatting for ease of viewing data</w:t>
            </w:r>
          </w:p>
        </w:tc>
        <w:tc>
          <w:tcPr>
            <w:tcW w:w="8193" w:type="dxa"/>
          </w:tcPr>
          <w:p w:rsidR="00B96F72" w:rsidRPr="00B96F72" w:rsidRDefault="00B96F72" w:rsidP="00B96F72">
            <w:pPr>
              <w:rPr>
                <w:rFonts w:asciiTheme="minorHAnsi" w:hAnsiTheme="minorHAnsi" w:cstheme="minorHAnsi"/>
              </w:rPr>
            </w:pP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Identify any duplicate entries presumably entered in error via the Questionnaire Portal and retained within the spreadsheet</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 xml:space="preserve">Identify these primarily through sorting by </w:t>
            </w:r>
            <w:r w:rsidRPr="00B96F72">
              <w:rPr>
                <w:rFonts w:asciiTheme="minorHAnsi" w:hAnsiTheme="minorHAnsi" w:cstheme="minorHAnsi"/>
                <w:lang w:val="en-US"/>
              </w:rPr>
              <w:t>“1. Name”.  Cut and paste such rows to the foot of the spreadsheet</w:t>
            </w: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Identify any rows where no data was recorded by the Council as having been entered, other than identification data</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Enter a formula in Col BU to identify rows with no entries other than identification data.  Again, cut and paste such rows to the foot of the spreadsheet.</w:t>
            </w: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Compare resulting valid entries with Council’s “score”</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 xml:space="preserve">Having pulled out the rows that were apparently duplicate entries or blank entries our total of valid entries is </w:t>
            </w:r>
            <w:r w:rsidRPr="00B96F72">
              <w:rPr>
                <w:rFonts w:asciiTheme="minorHAnsi" w:hAnsiTheme="minorHAnsi" w:cstheme="minorHAnsi"/>
                <w:b/>
              </w:rPr>
              <w:t>382</w:t>
            </w:r>
            <w:r w:rsidRPr="00B96F72">
              <w:rPr>
                <w:rFonts w:asciiTheme="minorHAnsi" w:hAnsiTheme="minorHAnsi" w:cstheme="minorHAnsi"/>
              </w:rPr>
              <w:t xml:space="preserve">, compared with the Council’s figure of </w:t>
            </w:r>
            <w:r w:rsidRPr="00B96F72">
              <w:rPr>
                <w:rFonts w:asciiTheme="minorHAnsi" w:hAnsiTheme="minorHAnsi" w:cstheme="minorHAnsi"/>
                <w:b/>
              </w:rPr>
              <w:t>412</w:t>
            </w:r>
            <w:r w:rsidRPr="00B96F72">
              <w:rPr>
                <w:rFonts w:asciiTheme="minorHAnsi" w:hAnsiTheme="minorHAnsi" w:cstheme="minorHAnsi"/>
              </w:rPr>
              <w:t xml:space="preserve"> “unique” responses.</w:t>
            </w:r>
            <w:r w:rsidRPr="00B96F72">
              <w:rPr>
                <w:rFonts w:asciiTheme="minorHAnsi" w:hAnsiTheme="minorHAnsi" w:cstheme="minorHAnsi"/>
                <w:lang w:val="en-US"/>
              </w:rPr>
              <w:t xml:space="preserve"> </w:t>
            </w: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 xml:space="preserve">Go through the responses to Q4 (in Col H) and identify any that suggest there should be a lower housing requirement than any of the options offered </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Enter “Lower” in Col H</w:t>
            </w: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Sort the data by Col D (2. Agent), then Col C (1. Name)</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Primarily to sort the responses from agents into a sensible order</w:t>
            </w:r>
          </w:p>
        </w:tc>
      </w:tr>
    </w:tbl>
    <w:p w:rsidR="00B96F72" w:rsidRPr="00B96F72" w:rsidRDefault="00B96F72" w:rsidP="00B96F72"/>
    <w:tbl>
      <w:tblPr>
        <w:tblStyle w:val="TableGrid"/>
        <w:tblW w:w="15168" w:type="dxa"/>
        <w:tblInd w:w="108" w:type="dxa"/>
        <w:tblLook w:val="04A0" w:firstRow="1" w:lastRow="0" w:firstColumn="1" w:lastColumn="0" w:noHBand="0" w:noVBand="1"/>
      </w:tblPr>
      <w:tblGrid>
        <w:gridCol w:w="567"/>
        <w:gridCol w:w="6408"/>
        <w:gridCol w:w="8193"/>
      </w:tblGrid>
      <w:tr w:rsidR="00B96F72" w:rsidRPr="00B96F72" w:rsidTr="00B96F72">
        <w:tc>
          <w:tcPr>
            <w:tcW w:w="562" w:type="dxa"/>
          </w:tcPr>
          <w:p w:rsidR="00B96F72" w:rsidRPr="00B96F72" w:rsidRDefault="00B96F72" w:rsidP="00B96F72">
            <w:pPr>
              <w:rPr>
                <w:rFonts w:asciiTheme="minorHAnsi" w:hAnsiTheme="minorHAnsi" w:cstheme="minorHAnsi"/>
              </w:rPr>
            </w:pPr>
          </w:p>
        </w:tc>
        <w:tc>
          <w:tcPr>
            <w:tcW w:w="6408"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Action</w:t>
            </w:r>
          </w:p>
        </w:tc>
        <w:tc>
          <w:tcPr>
            <w:tcW w:w="8193"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Explanation</w:t>
            </w:r>
          </w:p>
        </w:tc>
      </w:tr>
      <w:tr w:rsidR="00B96F72" w:rsidRPr="00B96F72" w:rsidTr="00B96F72">
        <w:tc>
          <w:tcPr>
            <w:tcW w:w="562"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Insert rows beneath each category in order to summarise the responses to Q4 by category, and enter summation formulae.  Include narrow rows to define the range</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Check that the alphabetic sum equals the sum of the numerical sums</w:t>
            </w:r>
          </w:p>
        </w:tc>
      </w:tr>
      <w:tr w:rsidR="00B96F72" w:rsidRPr="00B96F72" w:rsidTr="00B96F72">
        <w:tc>
          <w:tcPr>
            <w:tcW w:w="567"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Interrogate “Individual” category to identify duplicate/identical entries from the same source:</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Sort “Individual” by Col H (narrative response to Q4) to identify identical responses</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Only one duplicate narrative entry was identified, from Robert and Gill Buckeridge, although the answers to the first part of Q4 were not identical</w:t>
            </w:r>
          </w:p>
          <w:p w:rsidR="00B96F72" w:rsidRPr="00B96F72" w:rsidRDefault="00B96F72" w:rsidP="00B96F72">
            <w:pPr>
              <w:rPr>
                <w:rFonts w:asciiTheme="minorHAnsi" w:hAnsiTheme="minorHAnsi" w:cstheme="minorHAnsi"/>
              </w:rPr>
            </w:pPr>
          </w:p>
          <w:p w:rsidR="00B96F72" w:rsidRPr="00B96F72" w:rsidRDefault="00B96F72" w:rsidP="00B96F72">
            <w:pPr>
              <w:rPr>
                <w:rFonts w:asciiTheme="minorHAnsi" w:hAnsiTheme="minorHAnsi" w:cstheme="minorHAnsi"/>
              </w:rPr>
            </w:pPr>
          </w:p>
        </w:tc>
      </w:tr>
      <w:tr w:rsidR="00B96F72" w:rsidRPr="00B96F72" w:rsidTr="00B96F72">
        <w:tc>
          <w:tcPr>
            <w:tcW w:w="567"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Interrogate “Local Gov” category to identify duplicate/identical entries from the same source:</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Sort “Local Gov” by Col H (narrative response to Q4)</w:t>
            </w:r>
          </w:p>
        </w:tc>
        <w:tc>
          <w:tcPr>
            <w:tcW w:w="8193"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No identical responses were found, although there were some blank responses</w:t>
            </w:r>
          </w:p>
        </w:tc>
      </w:tr>
      <w:tr w:rsidR="00B96F72" w:rsidRPr="00B96F72" w:rsidTr="00B96F72">
        <w:tc>
          <w:tcPr>
            <w:tcW w:w="567"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Interrogate “L, D &amp; A” category to identify duplicate/identical entries from the same source:</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Count multiple entries from the same agent (having sorted by agent)</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Count identical narrative responses from the same source (having sorted by Col H)</w:t>
            </w:r>
          </w:p>
        </w:tc>
        <w:tc>
          <w:tcPr>
            <w:tcW w:w="8193" w:type="dxa"/>
          </w:tcPr>
          <w:p w:rsidR="00B96F72" w:rsidRPr="00B96F72" w:rsidRDefault="00B96F72" w:rsidP="00B96F72">
            <w:pPr>
              <w:rPr>
                <w:rFonts w:asciiTheme="minorHAnsi" w:hAnsiTheme="minorHAnsi" w:cstheme="minorHAnsi"/>
              </w:rPr>
            </w:pPr>
          </w:p>
          <w:p w:rsidR="00B96F72" w:rsidRPr="00B96F72" w:rsidRDefault="00B96F72" w:rsidP="00B96F72">
            <w:pPr>
              <w:rPr>
                <w:rFonts w:asciiTheme="minorHAnsi" w:hAnsiTheme="minorHAnsi" w:cstheme="minorHAnsi"/>
              </w:rPr>
            </w:pPr>
            <w:r w:rsidRPr="00B96F72">
              <w:rPr>
                <w:rFonts w:asciiTheme="minorHAnsi" w:hAnsiTheme="minorHAnsi" w:cstheme="minorHAnsi"/>
              </w:rPr>
              <w:t>We counted 121 valid “L, D &amp; A” responses, but from only 38 separate agents i.e. an average of over 3 per agent.  One local agent put in 32 separate responses.  Three others put in 10 or more responses each.</w:t>
            </w:r>
          </w:p>
          <w:p w:rsidR="00B96F72" w:rsidRPr="00B96F72" w:rsidRDefault="00B96F72" w:rsidP="00B96F72">
            <w:pPr>
              <w:rPr>
                <w:rFonts w:asciiTheme="minorHAnsi" w:hAnsiTheme="minorHAnsi" w:cstheme="minorHAnsi"/>
              </w:rPr>
            </w:pPr>
            <w:r w:rsidRPr="00B96F72">
              <w:rPr>
                <w:rFonts w:asciiTheme="minorHAnsi" w:hAnsiTheme="minorHAnsi" w:cstheme="minorHAnsi"/>
              </w:rPr>
              <w:t>We identified 47 narrative responses that were absolutely identical to other responses from the same agent.  A further 11 were almost identical.  One agent submitted 25 identical responses.  All favoured the “High” option</w:t>
            </w:r>
          </w:p>
        </w:tc>
      </w:tr>
      <w:tr w:rsidR="00B96F72" w:rsidRPr="00B96F72" w:rsidTr="00B96F72">
        <w:tc>
          <w:tcPr>
            <w:tcW w:w="567" w:type="dxa"/>
          </w:tcPr>
          <w:p w:rsidR="00B96F72" w:rsidRPr="00B96F72" w:rsidRDefault="00B96F72" w:rsidP="00B96F72">
            <w:pPr>
              <w:contextualSpacing/>
              <w:rPr>
                <w:rFonts w:asciiTheme="minorHAnsi" w:eastAsiaTheme="minorHAnsi" w:hAnsiTheme="minorHAnsi" w:cstheme="minorHAnsi"/>
              </w:rPr>
            </w:pPr>
          </w:p>
        </w:tc>
        <w:tc>
          <w:tcPr>
            <w:tcW w:w="6408"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Create Summary tab and produce relevant Charts</w:t>
            </w:r>
          </w:p>
        </w:tc>
        <w:tc>
          <w:tcPr>
            <w:tcW w:w="8193" w:type="dxa"/>
          </w:tcPr>
          <w:p w:rsidR="00B96F72" w:rsidRPr="00B96F72" w:rsidRDefault="00B96F72" w:rsidP="00B96F72">
            <w:pPr>
              <w:rPr>
                <w:rFonts w:asciiTheme="minorHAnsi" w:hAnsiTheme="minorHAnsi" w:cstheme="minorHAnsi"/>
              </w:rPr>
            </w:pPr>
          </w:p>
        </w:tc>
      </w:tr>
    </w:tbl>
    <w:p w:rsidR="00B96F72" w:rsidRPr="00B96F72" w:rsidRDefault="00B96F72" w:rsidP="00B96F72">
      <w:pPr>
        <w:autoSpaceDE w:val="0"/>
        <w:autoSpaceDN w:val="0"/>
        <w:adjustRightInd w:val="0"/>
        <w:spacing w:before="240" w:after="240" w:line="276" w:lineRule="auto"/>
        <w:rPr>
          <w:rFonts w:asciiTheme="minorHAnsi" w:eastAsiaTheme="minorHAnsi" w:hAnsiTheme="minorHAnsi" w:cstheme="minorHAnsi"/>
          <w:sz w:val="22"/>
          <w:lang w:eastAsia="en-GB"/>
        </w:rPr>
      </w:pPr>
      <w:r w:rsidRPr="00B96F72">
        <w:rPr>
          <w:rFonts w:asciiTheme="minorHAnsi" w:eastAsiaTheme="minorHAnsi" w:hAnsiTheme="minorHAnsi" w:cstheme="minorHAnsi"/>
          <w:sz w:val="22"/>
          <w:lang w:eastAsia="en-GB"/>
        </w:rPr>
        <w:br w:type="page"/>
      </w:r>
    </w:p>
    <w:p w:rsidR="00B96F72" w:rsidRPr="00B96F72" w:rsidRDefault="00B96F72" w:rsidP="00B96F72">
      <w:pPr>
        <w:autoSpaceDE w:val="0"/>
        <w:autoSpaceDN w:val="0"/>
        <w:adjustRightInd w:val="0"/>
        <w:spacing w:before="240" w:after="240" w:line="276" w:lineRule="auto"/>
        <w:rPr>
          <w:rFonts w:asciiTheme="minorHAnsi" w:hAnsiTheme="minorHAnsi" w:cstheme="minorHAnsi"/>
          <w:b/>
          <w:i/>
          <w:color w:val="0070C0"/>
          <w:sz w:val="28"/>
          <w:szCs w:val="28"/>
          <w:lang w:eastAsia="en-GB"/>
        </w:rPr>
      </w:pPr>
      <w:r w:rsidRPr="00B96F72">
        <w:rPr>
          <w:rFonts w:asciiTheme="minorHAnsi" w:hAnsiTheme="minorHAnsi" w:cstheme="minorHAnsi"/>
          <w:b/>
          <w:i/>
          <w:color w:val="0070C0"/>
          <w:sz w:val="28"/>
          <w:szCs w:val="28"/>
          <w:lang w:eastAsia="en-GB"/>
        </w:rPr>
        <w:lastRenderedPageBreak/>
        <w:t>Preferred Scale and Distribution of Development</w:t>
      </w:r>
    </w:p>
    <w:tbl>
      <w:tblPr>
        <w:tblStyle w:val="TableGrid"/>
        <w:tblW w:w="14763" w:type="dxa"/>
        <w:tblLook w:val="04A0" w:firstRow="1" w:lastRow="0" w:firstColumn="1" w:lastColumn="0" w:noHBand="0" w:noVBand="1"/>
      </w:tblPr>
      <w:tblGrid>
        <w:gridCol w:w="550"/>
        <w:gridCol w:w="6272"/>
        <w:gridCol w:w="7941"/>
      </w:tblGrid>
      <w:tr w:rsidR="00B96F72" w:rsidRPr="00B96F72" w:rsidTr="00B96F72">
        <w:tc>
          <w:tcPr>
            <w:tcW w:w="550" w:type="dxa"/>
          </w:tcPr>
          <w:p w:rsidR="00B96F72" w:rsidRPr="00B96F72" w:rsidRDefault="00B96F72" w:rsidP="00B96F72">
            <w:pPr>
              <w:rPr>
                <w:rFonts w:asciiTheme="minorHAnsi" w:hAnsiTheme="minorHAnsi" w:cstheme="minorHAnsi"/>
              </w:rPr>
            </w:pPr>
          </w:p>
        </w:tc>
        <w:tc>
          <w:tcPr>
            <w:tcW w:w="6272"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Action</w:t>
            </w:r>
          </w:p>
        </w:tc>
        <w:tc>
          <w:tcPr>
            <w:tcW w:w="7941"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Explanation</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Create new Col A and enter sequential numbering of all entries</w:t>
            </w: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To enable the original order to be re-created if necessary, after sorting of data</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Create new Col B (spacer col) and new Col C and enter a classification of each entry in Col C. Classifications used are:</w:t>
            </w:r>
          </w:p>
          <w:tbl>
            <w:tblPr>
              <w:tblStyle w:val="TableGrid"/>
              <w:tblW w:w="0" w:type="auto"/>
              <w:tblLook w:val="04A0" w:firstRow="1" w:lastRow="0" w:firstColumn="1" w:lastColumn="0" w:noHBand="0" w:noVBand="1"/>
            </w:tblPr>
            <w:tblGrid>
              <w:gridCol w:w="3020"/>
              <w:gridCol w:w="3026"/>
            </w:tblGrid>
            <w:tr w:rsidR="00B96F72" w:rsidRPr="00B96F72" w:rsidTr="00B96F72">
              <w:tc>
                <w:tcPr>
                  <w:tcW w:w="3091"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Shropshire Council</w:t>
                  </w:r>
                </w:p>
              </w:tc>
              <w:tc>
                <w:tcPr>
                  <w:tcW w:w="3091"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CPRE</w:t>
                  </w:r>
                </w:p>
              </w:tc>
            </w:tr>
            <w:tr w:rsidR="00B96F72" w:rsidRPr="00B96F72" w:rsidTr="00B96F72">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Members of the public</w:t>
                  </w: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Individuals</w:t>
                  </w:r>
                </w:p>
              </w:tc>
            </w:tr>
            <w:tr w:rsidR="00B96F72" w:rsidRPr="00B96F72" w:rsidTr="00B96F72">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Parish and Town Councils</w:t>
                  </w: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Local Government</w:t>
                  </w:r>
                </w:p>
              </w:tc>
            </w:tr>
            <w:tr w:rsidR="00B96F72" w:rsidRPr="00B96F72" w:rsidTr="00B96F72">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Developers and agents</w:t>
                  </w: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Landowners, developers and agents (L, D &amp; A)</w:t>
                  </w:r>
                </w:p>
              </w:tc>
            </w:tr>
            <w:tr w:rsidR="00B96F72" w:rsidRPr="00B96F72" w:rsidTr="00B96F72">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Local interest groups</w:t>
                  </w: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Corporate, and Local and national interest groups</w:t>
                  </w:r>
                </w:p>
              </w:tc>
            </w:tr>
            <w:tr w:rsidR="00B96F72" w:rsidRPr="00B96F72" w:rsidTr="00B96F72">
              <w:tc>
                <w:tcPr>
                  <w:tcW w:w="3091" w:type="dxa"/>
                </w:tcPr>
                <w:p w:rsidR="00B96F72" w:rsidRPr="00B96F72" w:rsidRDefault="00B96F72" w:rsidP="00B96F72">
                  <w:pPr>
                    <w:rPr>
                      <w:rFonts w:asciiTheme="minorHAnsi" w:hAnsiTheme="minorHAnsi" w:cstheme="minorHAnsi"/>
                    </w:rPr>
                  </w:pPr>
                </w:p>
              </w:tc>
              <w:tc>
                <w:tcPr>
                  <w:tcW w:w="309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Duplicates, wholly blank entries, and identical narratives for Q3b</w:t>
                  </w:r>
                </w:p>
              </w:tc>
            </w:tr>
          </w:tbl>
          <w:p w:rsidR="00B96F72" w:rsidRPr="00B96F72" w:rsidRDefault="00B96F72" w:rsidP="00B96F72">
            <w:pPr>
              <w:rPr>
                <w:rFonts w:asciiTheme="minorHAnsi" w:hAnsiTheme="minorHAnsi" w:cstheme="minorHAnsi"/>
              </w:rPr>
            </w:pP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To categorise the nature of each response, and to identify the duplicate entries.</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Remove “Wrap text” formatting for ease of viewing data</w:t>
            </w:r>
          </w:p>
        </w:tc>
        <w:tc>
          <w:tcPr>
            <w:tcW w:w="7941" w:type="dxa"/>
          </w:tcPr>
          <w:p w:rsidR="00B96F72" w:rsidRPr="00B96F72" w:rsidRDefault="00B96F72" w:rsidP="00B96F72">
            <w:pPr>
              <w:rPr>
                <w:rFonts w:asciiTheme="minorHAnsi" w:hAnsiTheme="minorHAnsi" w:cstheme="minorHAnsi"/>
              </w:rPr>
            </w:pP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Identify any duplicate entries presumably entered in error via the Questionnaire Portal and retained within the spreadsheet</w:t>
            </w: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 xml:space="preserve">Identify these primarily through sorting by </w:t>
            </w:r>
            <w:r w:rsidRPr="00B96F72">
              <w:rPr>
                <w:rFonts w:asciiTheme="minorHAnsi" w:hAnsiTheme="minorHAnsi" w:cstheme="minorHAnsi"/>
                <w:lang w:val="en-US"/>
              </w:rPr>
              <w:t>“Respondent Name”.  Cut and paste such rows to the foot of the spreadsheet</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Identify any rows where no data was recorded by the Council as having been entered, other than identification data</w:t>
            </w: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Enter a formula in Col AP to identify rows with no entries other than identification data.  Again, cut and paste such rows to the foot of the spreadsheet.</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Compare the resultant number of valid responses with the Council’s number of “unique” responses</w:t>
            </w: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 xml:space="preserve">Our total of valid entries is </w:t>
            </w:r>
            <w:r w:rsidRPr="00B96F72">
              <w:rPr>
                <w:rFonts w:asciiTheme="minorHAnsi" w:hAnsiTheme="minorHAnsi" w:cstheme="minorHAnsi"/>
                <w:b/>
              </w:rPr>
              <w:t>587</w:t>
            </w:r>
            <w:r w:rsidRPr="00B96F72">
              <w:rPr>
                <w:rFonts w:asciiTheme="minorHAnsi" w:hAnsiTheme="minorHAnsi" w:cstheme="minorHAnsi"/>
              </w:rPr>
              <w:t xml:space="preserve">, compared with the Council’s figure of </w:t>
            </w:r>
            <w:r w:rsidRPr="00B96F72">
              <w:rPr>
                <w:rFonts w:asciiTheme="minorHAnsi" w:hAnsiTheme="minorHAnsi" w:cstheme="minorHAnsi"/>
                <w:b/>
              </w:rPr>
              <w:t>591</w:t>
            </w:r>
            <w:r w:rsidRPr="00B96F72">
              <w:rPr>
                <w:rFonts w:asciiTheme="minorHAnsi" w:hAnsiTheme="minorHAnsi" w:cstheme="minorHAnsi"/>
              </w:rPr>
              <w:t xml:space="preserve"> “unique” responses.</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lang w:val="en-US"/>
              </w:rPr>
              <w:t>The Council’s highlighting indicates that they recognised a duplication for Peter Cooke, but an original valid response cannot be identified</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lang w:val="en-US"/>
              </w:rPr>
              <w:t>Similarly, the Council’s highlighting indicates that they recognised 2 duplicates for Ludford Parish Council but an original valid response cannot be identified</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 xml:space="preserve">Go through the responses to Q3b (now in Col I) and identify any where the narrative indicates what the respondent’s opinion </w:t>
            </w:r>
            <w:r w:rsidRPr="00B96F72">
              <w:rPr>
                <w:rFonts w:asciiTheme="minorHAnsi" w:hAnsiTheme="minorHAnsi" w:cstheme="minorHAnsi"/>
                <w:u w:val="single"/>
              </w:rPr>
              <w:t>actually</w:t>
            </w:r>
            <w:r w:rsidRPr="00B96F72">
              <w:rPr>
                <w:rFonts w:asciiTheme="minorHAnsi" w:hAnsiTheme="minorHAnsi" w:cstheme="minorHAnsi"/>
              </w:rPr>
              <w:t xml:space="preserve"> was, where no preference has been entered in Col H.  Adjust Col H response accordingly </w:t>
            </w: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Adjusted entries are highlighted in Col I</w:t>
            </w:r>
          </w:p>
        </w:tc>
      </w:tr>
    </w:tbl>
    <w:p w:rsidR="00B96F72" w:rsidRPr="00B96F72" w:rsidRDefault="00B96F72" w:rsidP="00B96F72"/>
    <w:tbl>
      <w:tblPr>
        <w:tblStyle w:val="TableGrid"/>
        <w:tblW w:w="14763" w:type="dxa"/>
        <w:tblLook w:val="04A0" w:firstRow="1" w:lastRow="0" w:firstColumn="1" w:lastColumn="0" w:noHBand="0" w:noVBand="1"/>
      </w:tblPr>
      <w:tblGrid>
        <w:gridCol w:w="550"/>
        <w:gridCol w:w="6252"/>
        <w:gridCol w:w="20"/>
        <w:gridCol w:w="7941"/>
      </w:tblGrid>
      <w:tr w:rsidR="00B96F72" w:rsidRPr="00B96F72" w:rsidTr="00B96F72">
        <w:tc>
          <w:tcPr>
            <w:tcW w:w="550" w:type="dxa"/>
          </w:tcPr>
          <w:p w:rsidR="00B96F72" w:rsidRPr="00B96F72" w:rsidRDefault="00B96F72" w:rsidP="00B96F72">
            <w:pPr>
              <w:rPr>
                <w:rFonts w:asciiTheme="minorHAnsi" w:hAnsiTheme="minorHAnsi" w:cstheme="minorHAnsi"/>
              </w:rPr>
            </w:pPr>
          </w:p>
        </w:tc>
        <w:tc>
          <w:tcPr>
            <w:tcW w:w="6272" w:type="dxa"/>
            <w:gridSpan w:val="2"/>
          </w:tcPr>
          <w:p w:rsidR="00B96F72" w:rsidRPr="00B96F72" w:rsidRDefault="00B96F72" w:rsidP="00B96F72">
            <w:pPr>
              <w:rPr>
                <w:rFonts w:asciiTheme="minorHAnsi" w:hAnsiTheme="minorHAnsi" w:cstheme="minorHAnsi"/>
                <w:b/>
              </w:rPr>
            </w:pPr>
            <w:r w:rsidRPr="00B96F72">
              <w:rPr>
                <w:rFonts w:asciiTheme="minorHAnsi" w:hAnsiTheme="minorHAnsi" w:cstheme="minorHAnsi"/>
                <w:b/>
              </w:rPr>
              <w:t>Action</w:t>
            </w:r>
          </w:p>
        </w:tc>
        <w:tc>
          <w:tcPr>
            <w:tcW w:w="7941" w:type="dxa"/>
          </w:tcPr>
          <w:p w:rsidR="00B96F72" w:rsidRPr="00B96F72" w:rsidRDefault="00B96F72" w:rsidP="00B96F72">
            <w:pPr>
              <w:rPr>
                <w:rFonts w:asciiTheme="minorHAnsi" w:hAnsiTheme="minorHAnsi" w:cstheme="minorHAnsi"/>
                <w:b/>
              </w:rPr>
            </w:pPr>
            <w:r w:rsidRPr="00B96F72">
              <w:rPr>
                <w:rFonts w:asciiTheme="minorHAnsi" w:hAnsiTheme="minorHAnsi" w:cstheme="minorHAnsi"/>
                <w:b/>
              </w:rPr>
              <w:t>Explanation</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gridSpan w:val="2"/>
          </w:tcPr>
          <w:p w:rsidR="00B96F72" w:rsidRPr="00B96F72" w:rsidRDefault="00B96F72" w:rsidP="00B96F72">
            <w:pPr>
              <w:rPr>
                <w:rFonts w:asciiTheme="minorHAnsi" w:hAnsiTheme="minorHAnsi" w:cstheme="minorHAnsi"/>
              </w:rPr>
            </w:pPr>
            <w:r w:rsidRPr="00B96F72">
              <w:rPr>
                <w:rFonts w:asciiTheme="minorHAnsi" w:hAnsiTheme="minorHAnsi" w:cstheme="minorHAnsi"/>
              </w:rPr>
              <w:t>Sort the data by Col C, then Col E (Respondent Organisation), then Col D (Respondent Name), then Col F (Client Name)</w:t>
            </w: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Primarily to sort the responses from agents into a sensible order</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72" w:type="dxa"/>
            <w:gridSpan w:val="2"/>
          </w:tcPr>
          <w:p w:rsidR="00B96F72" w:rsidRPr="00B96F72" w:rsidRDefault="00B96F72" w:rsidP="00B96F72">
            <w:pPr>
              <w:rPr>
                <w:rFonts w:asciiTheme="minorHAnsi" w:hAnsiTheme="minorHAnsi" w:cstheme="minorHAnsi"/>
              </w:rPr>
            </w:pPr>
            <w:r w:rsidRPr="00B96F72">
              <w:rPr>
                <w:rFonts w:asciiTheme="minorHAnsi" w:hAnsiTheme="minorHAnsi" w:cstheme="minorHAnsi"/>
              </w:rPr>
              <w:t>Insert rows beneath each category in order to summarise the responses to Q3a by category, and enter summation formulae. Include narrow rows to define the range</w:t>
            </w:r>
          </w:p>
        </w:tc>
        <w:tc>
          <w:tcPr>
            <w:tcW w:w="7941"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Check that the alphabetic sum equals the sum of the numerical sums</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5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Interrogate “Individual” category to identify duplicate/identical entries from the same source:</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Sort “Individual” by Col I (narrative response to Q3b) to identify further identical responses</w:t>
            </w:r>
          </w:p>
        </w:tc>
        <w:tc>
          <w:tcPr>
            <w:tcW w:w="7961" w:type="dxa"/>
            <w:gridSpan w:val="2"/>
          </w:tcPr>
          <w:p w:rsidR="00B96F72" w:rsidRPr="00B96F72" w:rsidRDefault="00B96F72" w:rsidP="00B96F72">
            <w:pPr>
              <w:rPr>
                <w:rFonts w:asciiTheme="minorHAnsi" w:hAnsiTheme="minorHAnsi" w:cstheme="minorHAnsi"/>
              </w:rPr>
            </w:pPr>
          </w:p>
          <w:p w:rsidR="00B96F72" w:rsidRPr="00B96F72" w:rsidRDefault="00B96F72" w:rsidP="00B96F72">
            <w:pPr>
              <w:rPr>
                <w:rFonts w:asciiTheme="minorHAnsi" w:hAnsiTheme="minorHAnsi" w:cstheme="minorHAnsi"/>
              </w:rPr>
            </w:pPr>
          </w:p>
          <w:p w:rsidR="00B96F72" w:rsidRPr="00B96F72" w:rsidRDefault="00B96F72" w:rsidP="00B96F72">
            <w:pPr>
              <w:rPr>
                <w:rFonts w:asciiTheme="minorHAnsi" w:hAnsiTheme="minorHAnsi" w:cstheme="minorHAnsi"/>
              </w:rPr>
            </w:pPr>
            <w:r w:rsidRPr="00B96F72">
              <w:rPr>
                <w:rFonts w:asciiTheme="minorHAnsi" w:hAnsiTheme="minorHAnsi" w:cstheme="minorHAnsi"/>
              </w:rPr>
              <w:t>29 responses which were absolutely identical to another response (all “No”). Orange highlighting</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5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Interrogate “Local Gov” category to identify duplicate/identical entries from the same source:</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Sort “Local Gov” by Col I (narrative response to Q3b)</w:t>
            </w:r>
          </w:p>
        </w:tc>
        <w:tc>
          <w:tcPr>
            <w:tcW w:w="7961" w:type="dxa"/>
            <w:gridSpan w:val="2"/>
          </w:tcPr>
          <w:p w:rsidR="00B96F72" w:rsidRPr="00B96F72" w:rsidRDefault="00B96F72" w:rsidP="00B96F72">
            <w:pPr>
              <w:rPr>
                <w:rFonts w:asciiTheme="minorHAnsi" w:hAnsiTheme="minorHAnsi" w:cstheme="minorHAnsi"/>
              </w:rPr>
            </w:pPr>
            <w:r w:rsidRPr="00B96F72">
              <w:rPr>
                <w:rFonts w:asciiTheme="minorHAnsi" w:hAnsiTheme="minorHAnsi" w:cstheme="minorHAnsi"/>
              </w:rPr>
              <w:t>Only one possible near duplication of response (Great Hanwood &amp; Ford) despite there being 13 of the 59 PCs with duplicate clerks</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5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Interrogate “L, D &amp; A” category to identify duplicate/identical entries from the same source:</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Count multiple entries from the same agent (having sorted by agent)</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Count multiple entries from the same person (having sorted by person)</w:t>
            </w:r>
          </w:p>
          <w:p w:rsidR="00B96F72" w:rsidRPr="00B96F72" w:rsidRDefault="00B96F72" w:rsidP="00B96F72">
            <w:pPr>
              <w:contextualSpacing/>
              <w:rPr>
                <w:rFonts w:asciiTheme="minorHAnsi" w:eastAsiaTheme="minorHAnsi" w:hAnsiTheme="minorHAnsi" w:cstheme="minorHAnsi"/>
              </w:rPr>
            </w:pPr>
            <w:r w:rsidRPr="00B96F72">
              <w:rPr>
                <w:rFonts w:asciiTheme="minorHAnsi" w:eastAsiaTheme="minorHAnsi" w:hAnsiTheme="minorHAnsi" w:cstheme="minorHAnsi"/>
              </w:rPr>
              <w:t>Count identical narrative responses from the same source (having sorted by Col I)</w:t>
            </w:r>
          </w:p>
        </w:tc>
        <w:tc>
          <w:tcPr>
            <w:tcW w:w="7961" w:type="dxa"/>
            <w:gridSpan w:val="2"/>
          </w:tcPr>
          <w:p w:rsidR="00B96F72" w:rsidRPr="00B96F72" w:rsidRDefault="00B96F72" w:rsidP="00B96F72">
            <w:pPr>
              <w:rPr>
                <w:rFonts w:asciiTheme="minorHAnsi" w:hAnsiTheme="minorHAnsi" w:cstheme="minorHAnsi"/>
              </w:rPr>
            </w:pPr>
          </w:p>
          <w:p w:rsidR="00B96F72" w:rsidRPr="00B96F72" w:rsidRDefault="00B96F72" w:rsidP="00B96F72">
            <w:pPr>
              <w:rPr>
                <w:rFonts w:asciiTheme="minorHAnsi" w:hAnsiTheme="minorHAnsi" w:cstheme="minorHAnsi"/>
              </w:rPr>
            </w:pPr>
            <w:r w:rsidRPr="00B96F72">
              <w:rPr>
                <w:rFonts w:asciiTheme="minorHAnsi" w:hAnsiTheme="minorHAnsi" w:cstheme="minorHAnsi"/>
              </w:rPr>
              <w:t>We counted 206 “L, D &amp; A” responses, but from only 54 separate agents i.e. an average of almost 4 per agent.  One local agent put in 57 separate responses.  Four others put in 10 or more responses.</w:t>
            </w:r>
          </w:p>
          <w:p w:rsidR="00B96F72" w:rsidRPr="00B96F72" w:rsidRDefault="00B96F72" w:rsidP="00B96F72">
            <w:pPr>
              <w:rPr>
                <w:rFonts w:asciiTheme="minorHAnsi" w:hAnsiTheme="minorHAnsi" w:cstheme="minorHAnsi"/>
              </w:rPr>
            </w:pPr>
            <w:r w:rsidRPr="00B96F72">
              <w:rPr>
                <w:rFonts w:asciiTheme="minorHAnsi" w:hAnsiTheme="minorHAnsi" w:cstheme="minorHAnsi"/>
              </w:rPr>
              <w:t>71 separate individuals responded (including the 5 repeats from Charlene Sussums-Lewis, Carter Jonas)</w:t>
            </w:r>
          </w:p>
          <w:p w:rsidR="00B96F72" w:rsidRPr="00B96F72" w:rsidRDefault="00B96F72" w:rsidP="00B96F72">
            <w:pPr>
              <w:rPr>
                <w:rFonts w:asciiTheme="minorHAnsi" w:hAnsiTheme="minorHAnsi" w:cstheme="minorHAnsi"/>
              </w:rPr>
            </w:pPr>
            <w:r w:rsidRPr="00B96F72">
              <w:rPr>
                <w:rFonts w:asciiTheme="minorHAnsi" w:hAnsiTheme="minorHAnsi" w:cstheme="minorHAnsi"/>
              </w:rPr>
              <w:t>39 of the responses were absolutely identical to other responses from the same person/agent.  All of these were “Yes”.  Several others were very nearly identical</w:t>
            </w:r>
          </w:p>
        </w:tc>
      </w:tr>
      <w:tr w:rsidR="00B96F72" w:rsidRPr="00B96F72" w:rsidTr="00B96F72">
        <w:tc>
          <w:tcPr>
            <w:tcW w:w="550" w:type="dxa"/>
          </w:tcPr>
          <w:p w:rsidR="00B96F72" w:rsidRPr="00B96F72" w:rsidRDefault="00B96F72" w:rsidP="00B96F72">
            <w:pPr>
              <w:contextualSpacing/>
              <w:rPr>
                <w:rFonts w:asciiTheme="minorHAnsi" w:eastAsiaTheme="minorHAnsi" w:hAnsiTheme="minorHAnsi" w:cstheme="minorHAnsi"/>
              </w:rPr>
            </w:pPr>
          </w:p>
        </w:tc>
        <w:tc>
          <w:tcPr>
            <w:tcW w:w="6252" w:type="dxa"/>
          </w:tcPr>
          <w:p w:rsidR="00B96F72" w:rsidRPr="00B96F72" w:rsidRDefault="00B96F72" w:rsidP="00B96F72">
            <w:pPr>
              <w:rPr>
                <w:rFonts w:asciiTheme="minorHAnsi" w:hAnsiTheme="minorHAnsi" w:cstheme="minorHAnsi"/>
              </w:rPr>
            </w:pPr>
            <w:r w:rsidRPr="00B96F72">
              <w:rPr>
                <w:rFonts w:asciiTheme="minorHAnsi" w:hAnsiTheme="minorHAnsi" w:cstheme="minorHAnsi"/>
              </w:rPr>
              <w:t>Create Summary tab and produce relevant Charts</w:t>
            </w:r>
          </w:p>
        </w:tc>
        <w:tc>
          <w:tcPr>
            <w:tcW w:w="7961" w:type="dxa"/>
            <w:gridSpan w:val="2"/>
          </w:tcPr>
          <w:p w:rsidR="00B96F72" w:rsidRPr="00B96F72" w:rsidRDefault="00B96F72" w:rsidP="00B96F72">
            <w:pPr>
              <w:rPr>
                <w:rFonts w:asciiTheme="minorHAnsi" w:hAnsiTheme="minorHAnsi" w:cstheme="minorHAnsi"/>
              </w:rPr>
            </w:pPr>
          </w:p>
        </w:tc>
      </w:tr>
    </w:tbl>
    <w:p w:rsidR="0001370F" w:rsidRDefault="0001370F" w:rsidP="0001370F">
      <w:pPr>
        <w:rPr>
          <w:lang w:eastAsia="en-GB"/>
        </w:rPr>
      </w:pPr>
    </w:p>
    <w:p w:rsidR="000B64AF" w:rsidRDefault="000B64AF" w:rsidP="0001370F">
      <w:pPr>
        <w:rPr>
          <w:lang w:eastAsia="en-GB"/>
        </w:rPr>
        <w:sectPr w:rsidR="000B64AF" w:rsidSect="00BE2050">
          <w:pgSz w:w="16838" w:h="11906" w:orient="landscape" w:code="9"/>
          <w:pgMar w:top="1440" w:right="851" w:bottom="1440" w:left="1440" w:header="709" w:footer="851" w:gutter="0"/>
          <w:cols w:space="708"/>
          <w:docGrid w:linePitch="360"/>
        </w:sectPr>
      </w:pPr>
    </w:p>
    <w:p w:rsidR="000B64AF" w:rsidRDefault="000B64AF" w:rsidP="00896694">
      <w:pPr>
        <w:pStyle w:val="Heading1"/>
        <w:spacing w:after="0"/>
        <w:rPr>
          <w:rFonts w:asciiTheme="minorHAnsi" w:hAnsiTheme="minorHAnsi" w:cstheme="minorHAnsi"/>
          <w:sz w:val="20"/>
          <w:szCs w:val="20"/>
        </w:rPr>
      </w:pPr>
      <w:bookmarkStart w:id="75" w:name="_Toc65242954"/>
      <w:r w:rsidRPr="0084788B">
        <w:rPr>
          <w:rFonts w:asciiTheme="minorHAnsi" w:hAnsiTheme="minorHAnsi" w:cstheme="minorHAnsi"/>
          <w:sz w:val="20"/>
          <w:szCs w:val="20"/>
        </w:rPr>
        <w:lastRenderedPageBreak/>
        <w:t xml:space="preserve">Appendix 3 : </w:t>
      </w:r>
      <w:r w:rsidR="00A67C7E" w:rsidRPr="0084788B">
        <w:rPr>
          <w:rFonts w:asciiTheme="minorHAnsi" w:hAnsiTheme="minorHAnsi" w:cstheme="minorHAnsi"/>
          <w:sz w:val="20"/>
          <w:szCs w:val="20"/>
        </w:rPr>
        <w:t>Catalogue of Evidence Base</w:t>
      </w:r>
      <w:bookmarkEnd w:id="75"/>
    </w:p>
    <w:p w:rsidR="00896694" w:rsidRDefault="00BE2050" w:rsidP="00896694">
      <w:r>
        <w:rPr>
          <w:noProof/>
          <w:lang w:eastAsia="en-GB"/>
        </w:rPr>
        <w:drawing>
          <wp:inline distT="0" distB="0" distL="0" distR="0" wp14:anchorId="212B979E" wp14:editId="6A503338">
            <wp:extent cx="8325716" cy="61055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4004" t="16979" r="11552" b="12045"/>
                    <a:stretch/>
                  </pic:blipFill>
                  <pic:spPr bwMode="auto">
                    <a:xfrm>
                      <a:off x="0" y="0"/>
                      <a:ext cx="8341432" cy="6117050"/>
                    </a:xfrm>
                    <a:prstGeom prst="rect">
                      <a:avLst/>
                    </a:prstGeom>
                    <a:ln>
                      <a:noFill/>
                    </a:ln>
                    <a:extLst>
                      <a:ext uri="{53640926-AAD7-44D8-BBD7-CCE9431645EC}">
                        <a14:shadowObscured xmlns:a14="http://schemas.microsoft.com/office/drawing/2010/main"/>
                      </a:ext>
                    </a:extLst>
                  </pic:spPr>
                </pic:pic>
              </a:graphicData>
            </a:graphic>
          </wp:inline>
        </w:drawing>
      </w:r>
    </w:p>
    <w:p w:rsidR="00BE2050" w:rsidRDefault="00BE2050" w:rsidP="00896694">
      <w:r>
        <w:rPr>
          <w:noProof/>
          <w:lang w:eastAsia="en-GB"/>
        </w:rPr>
        <w:lastRenderedPageBreak/>
        <w:drawing>
          <wp:inline distT="0" distB="0" distL="0" distR="0" wp14:anchorId="3CC77088" wp14:editId="07ED617A">
            <wp:extent cx="8707847" cy="6438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004" t="16980" r="11742" b="11705"/>
                    <a:stretch/>
                  </pic:blipFill>
                  <pic:spPr bwMode="auto">
                    <a:xfrm>
                      <a:off x="0" y="0"/>
                      <a:ext cx="8740214" cy="6462834"/>
                    </a:xfrm>
                    <a:prstGeom prst="rect">
                      <a:avLst/>
                    </a:prstGeom>
                    <a:ln>
                      <a:noFill/>
                    </a:ln>
                    <a:extLst>
                      <a:ext uri="{53640926-AAD7-44D8-BBD7-CCE9431645EC}">
                        <a14:shadowObscured xmlns:a14="http://schemas.microsoft.com/office/drawing/2010/main"/>
                      </a:ext>
                    </a:extLst>
                  </pic:spPr>
                </pic:pic>
              </a:graphicData>
            </a:graphic>
          </wp:inline>
        </w:drawing>
      </w:r>
    </w:p>
    <w:p w:rsidR="00BE2050" w:rsidRDefault="00BE2050" w:rsidP="00896694">
      <w:r>
        <w:rPr>
          <w:noProof/>
          <w:lang w:eastAsia="en-GB"/>
        </w:rPr>
        <w:lastRenderedPageBreak/>
        <w:drawing>
          <wp:inline distT="0" distB="0" distL="0" distR="0" wp14:anchorId="32ACD65E" wp14:editId="6456D33D">
            <wp:extent cx="8813505" cy="6505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4004" t="16980" r="11647" b="11705"/>
                    <a:stretch/>
                  </pic:blipFill>
                  <pic:spPr bwMode="auto">
                    <a:xfrm>
                      <a:off x="0" y="0"/>
                      <a:ext cx="8830287" cy="6517962"/>
                    </a:xfrm>
                    <a:prstGeom prst="rect">
                      <a:avLst/>
                    </a:prstGeom>
                    <a:ln>
                      <a:noFill/>
                    </a:ln>
                    <a:extLst>
                      <a:ext uri="{53640926-AAD7-44D8-BBD7-CCE9431645EC}">
                        <a14:shadowObscured xmlns:a14="http://schemas.microsoft.com/office/drawing/2010/main"/>
                      </a:ext>
                    </a:extLst>
                  </pic:spPr>
                </pic:pic>
              </a:graphicData>
            </a:graphic>
          </wp:inline>
        </w:drawing>
      </w:r>
    </w:p>
    <w:p w:rsidR="00BE2050" w:rsidRDefault="003F6D29" w:rsidP="00896694">
      <w:r>
        <w:rPr>
          <w:noProof/>
          <w:lang w:eastAsia="en-GB"/>
        </w:rPr>
        <w:lastRenderedPageBreak/>
        <w:drawing>
          <wp:inline distT="0" distB="0" distL="0" distR="0" wp14:anchorId="1810CAAE" wp14:editId="0EC1C3F0">
            <wp:extent cx="8814225" cy="64865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4004" t="16810" r="11742" b="12215"/>
                    <a:stretch/>
                  </pic:blipFill>
                  <pic:spPr bwMode="auto">
                    <a:xfrm>
                      <a:off x="0" y="0"/>
                      <a:ext cx="8833917" cy="6501017"/>
                    </a:xfrm>
                    <a:prstGeom prst="rect">
                      <a:avLst/>
                    </a:prstGeom>
                    <a:ln>
                      <a:noFill/>
                    </a:ln>
                    <a:extLst>
                      <a:ext uri="{53640926-AAD7-44D8-BBD7-CCE9431645EC}">
                        <a14:shadowObscured xmlns:a14="http://schemas.microsoft.com/office/drawing/2010/main"/>
                      </a:ext>
                    </a:extLst>
                  </pic:spPr>
                </pic:pic>
              </a:graphicData>
            </a:graphic>
          </wp:inline>
        </w:drawing>
      </w:r>
    </w:p>
    <w:p w:rsidR="009722C1" w:rsidRDefault="009722C1" w:rsidP="00896694">
      <w:r>
        <w:rPr>
          <w:noProof/>
          <w:lang w:eastAsia="en-GB"/>
        </w:rPr>
        <w:lastRenderedPageBreak/>
        <w:drawing>
          <wp:inline distT="0" distB="0" distL="0" distR="0" wp14:anchorId="2A12A16B" wp14:editId="6D09643A">
            <wp:extent cx="8892513" cy="65055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3909" t="16980" r="11647" b="12214"/>
                    <a:stretch/>
                  </pic:blipFill>
                  <pic:spPr bwMode="auto">
                    <a:xfrm>
                      <a:off x="0" y="0"/>
                      <a:ext cx="8916610" cy="6523204"/>
                    </a:xfrm>
                    <a:prstGeom prst="rect">
                      <a:avLst/>
                    </a:prstGeom>
                    <a:ln>
                      <a:noFill/>
                    </a:ln>
                    <a:extLst>
                      <a:ext uri="{53640926-AAD7-44D8-BBD7-CCE9431645EC}">
                        <a14:shadowObscured xmlns:a14="http://schemas.microsoft.com/office/drawing/2010/main"/>
                      </a:ext>
                    </a:extLst>
                  </pic:spPr>
                </pic:pic>
              </a:graphicData>
            </a:graphic>
          </wp:inline>
        </w:drawing>
      </w:r>
    </w:p>
    <w:p w:rsidR="009722C1" w:rsidRDefault="00721EB8" w:rsidP="00896694">
      <w:r>
        <w:rPr>
          <w:noProof/>
          <w:lang w:eastAsia="en-GB"/>
        </w:rPr>
        <w:lastRenderedPageBreak/>
        <w:drawing>
          <wp:inline distT="0" distB="0" distL="0" distR="0" wp14:anchorId="69141CD3" wp14:editId="6C3A959E">
            <wp:extent cx="8785278" cy="64579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004" t="16810" r="11552" b="12045"/>
                    <a:stretch/>
                  </pic:blipFill>
                  <pic:spPr bwMode="auto">
                    <a:xfrm>
                      <a:off x="0" y="0"/>
                      <a:ext cx="8805845" cy="6473069"/>
                    </a:xfrm>
                    <a:prstGeom prst="rect">
                      <a:avLst/>
                    </a:prstGeom>
                    <a:ln>
                      <a:noFill/>
                    </a:ln>
                    <a:extLst>
                      <a:ext uri="{53640926-AAD7-44D8-BBD7-CCE9431645EC}">
                        <a14:shadowObscured xmlns:a14="http://schemas.microsoft.com/office/drawing/2010/main"/>
                      </a:ext>
                    </a:extLst>
                  </pic:spPr>
                </pic:pic>
              </a:graphicData>
            </a:graphic>
          </wp:inline>
        </w:drawing>
      </w:r>
    </w:p>
    <w:p w:rsidR="00721EB8" w:rsidRDefault="00721EB8" w:rsidP="00896694">
      <w:r>
        <w:rPr>
          <w:noProof/>
          <w:lang w:eastAsia="en-GB"/>
        </w:rPr>
        <w:lastRenderedPageBreak/>
        <w:drawing>
          <wp:inline distT="0" distB="0" distL="0" distR="0" wp14:anchorId="591D643D" wp14:editId="0DD94D1D">
            <wp:extent cx="8724900" cy="641356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4004" t="16810" r="11552" b="12045"/>
                    <a:stretch/>
                  </pic:blipFill>
                  <pic:spPr bwMode="auto">
                    <a:xfrm>
                      <a:off x="0" y="0"/>
                      <a:ext cx="8747885" cy="6430463"/>
                    </a:xfrm>
                    <a:prstGeom prst="rect">
                      <a:avLst/>
                    </a:prstGeom>
                    <a:ln>
                      <a:noFill/>
                    </a:ln>
                    <a:extLst>
                      <a:ext uri="{53640926-AAD7-44D8-BBD7-CCE9431645EC}">
                        <a14:shadowObscured xmlns:a14="http://schemas.microsoft.com/office/drawing/2010/main"/>
                      </a:ext>
                    </a:extLst>
                  </pic:spPr>
                </pic:pic>
              </a:graphicData>
            </a:graphic>
          </wp:inline>
        </w:drawing>
      </w:r>
    </w:p>
    <w:p w:rsidR="00721EB8" w:rsidRDefault="00BA295F" w:rsidP="00896694">
      <w:r>
        <w:rPr>
          <w:noProof/>
          <w:lang w:eastAsia="en-GB"/>
        </w:rPr>
        <w:lastRenderedPageBreak/>
        <w:drawing>
          <wp:inline distT="0" distB="0" distL="0" distR="0" wp14:anchorId="496B9C46" wp14:editId="223CBB4C">
            <wp:extent cx="8801100" cy="646958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3909" t="16810" r="11647" b="12045"/>
                    <a:stretch/>
                  </pic:blipFill>
                  <pic:spPr bwMode="auto">
                    <a:xfrm>
                      <a:off x="0" y="0"/>
                      <a:ext cx="8816712" cy="6481057"/>
                    </a:xfrm>
                    <a:prstGeom prst="rect">
                      <a:avLst/>
                    </a:prstGeom>
                    <a:ln>
                      <a:noFill/>
                    </a:ln>
                    <a:extLst>
                      <a:ext uri="{53640926-AAD7-44D8-BBD7-CCE9431645EC}">
                        <a14:shadowObscured xmlns:a14="http://schemas.microsoft.com/office/drawing/2010/main"/>
                      </a:ext>
                    </a:extLst>
                  </pic:spPr>
                </pic:pic>
              </a:graphicData>
            </a:graphic>
          </wp:inline>
        </w:drawing>
      </w:r>
    </w:p>
    <w:p w:rsidR="00BA295F" w:rsidRDefault="00BA295F" w:rsidP="00896694">
      <w:r>
        <w:rPr>
          <w:noProof/>
          <w:lang w:eastAsia="en-GB"/>
        </w:rPr>
        <w:lastRenderedPageBreak/>
        <w:drawing>
          <wp:inline distT="0" distB="0" distL="0" distR="0" wp14:anchorId="7CBF58AE" wp14:editId="07197020">
            <wp:extent cx="8858250" cy="6496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4004" t="16810" r="11552" b="12215"/>
                    <a:stretch/>
                  </pic:blipFill>
                  <pic:spPr bwMode="auto">
                    <a:xfrm>
                      <a:off x="0" y="0"/>
                      <a:ext cx="8877681" cy="6510299"/>
                    </a:xfrm>
                    <a:prstGeom prst="rect">
                      <a:avLst/>
                    </a:prstGeom>
                    <a:ln>
                      <a:noFill/>
                    </a:ln>
                    <a:extLst>
                      <a:ext uri="{53640926-AAD7-44D8-BBD7-CCE9431645EC}">
                        <a14:shadowObscured xmlns:a14="http://schemas.microsoft.com/office/drawing/2010/main"/>
                      </a:ext>
                    </a:extLst>
                  </pic:spPr>
                </pic:pic>
              </a:graphicData>
            </a:graphic>
          </wp:inline>
        </w:drawing>
      </w:r>
    </w:p>
    <w:p w:rsidR="00A67C7E" w:rsidRPr="000B64AF" w:rsidRDefault="00FD5E24" w:rsidP="00A67C7E">
      <w:r>
        <w:rPr>
          <w:noProof/>
          <w:lang w:eastAsia="en-GB"/>
        </w:rPr>
        <w:lastRenderedPageBreak/>
        <w:drawing>
          <wp:inline distT="0" distB="0" distL="0" distR="0" wp14:anchorId="707B405A" wp14:editId="45B0F8CA">
            <wp:extent cx="8820951" cy="648006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4004" t="16979" r="11647" b="12045"/>
                    <a:stretch/>
                  </pic:blipFill>
                  <pic:spPr bwMode="auto">
                    <a:xfrm>
                      <a:off x="0" y="0"/>
                      <a:ext cx="8865987" cy="6513150"/>
                    </a:xfrm>
                    <a:prstGeom prst="rect">
                      <a:avLst/>
                    </a:prstGeom>
                    <a:ln>
                      <a:noFill/>
                    </a:ln>
                    <a:extLst>
                      <a:ext uri="{53640926-AAD7-44D8-BBD7-CCE9431645EC}">
                        <a14:shadowObscured xmlns:a14="http://schemas.microsoft.com/office/drawing/2010/main"/>
                      </a:ext>
                    </a:extLst>
                  </pic:spPr>
                </pic:pic>
              </a:graphicData>
            </a:graphic>
          </wp:inline>
        </w:drawing>
      </w:r>
    </w:p>
    <w:sectPr w:rsidR="00A67C7E" w:rsidRPr="000B64AF" w:rsidSect="00896694">
      <w:headerReference w:type="default" r:id="rId69"/>
      <w:pgSz w:w="16838" w:h="11906" w:orient="landscape" w:code="9"/>
      <w:pgMar w:top="567" w:right="567" w:bottom="567" w:left="567" w:header="283"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5BC9" w:rsidRDefault="00745BC9" w:rsidP="00D3044A">
      <w:r>
        <w:separator/>
      </w:r>
    </w:p>
  </w:endnote>
  <w:endnote w:type="continuationSeparator" w:id="0">
    <w:p w:rsidR="00745BC9" w:rsidRDefault="00745BC9" w:rsidP="00D304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altName w:val="Calibri"/>
    <w:panose1 w:val="020F05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00006FF" w:usb1="4000205B" w:usb2="00000010" w:usb3="00000000" w:csb0="0000019F"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Default="00691C1F" w:rsidP="00D53B7D">
    <w:pPr>
      <w:pStyle w:val="Footer"/>
      <w:jc w:val="center"/>
      <w:rPr>
        <w:rFonts w:ascii="Trebuchet MS" w:hAnsi="Trebuchet MS"/>
        <w:sz w:val="20"/>
        <w:szCs w:val="20"/>
      </w:rPr>
    </w:pPr>
  </w:p>
  <w:p w:rsidR="00691C1F" w:rsidRPr="00911844" w:rsidRDefault="00691C1F" w:rsidP="00D01C04">
    <w:pPr>
      <w:pStyle w:val="Footer"/>
      <w:jc w:val="right"/>
      <w:rPr>
        <w:rFonts w:ascii="Trebuchet MS" w:hAnsi="Trebuchet MS"/>
        <w:sz w:val="20"/>
        <w:szCs w:val="20"/>
      </w:rPr>
    </w:pPr>
    <w:r w:rsidRPr="00844C20">
      <w:rPr>
        <w:rFonts w:ascii="Trebuchet MS" w:hAnsi="Trebuchet MS"/>
        <w:sz w:val="20"/>
        <w:szCs w:val="20"/>
      </w:rPr>
      <w:t xml:space="preserve">Page </w:t>
    </w:r>
    <w:sdt>
      <w:sdtPr>
        <w:rPr>
          <w:rFonts w:ascii="Trebuchet MS" w:hAnsi="Trebuchet MS"/>
          <w:sz w:val="20"/>
          <w:szCs w:val="20"/>
        </w:rPr>
        <w:id w:val="610398235"/>
        <w:docPartObj>
          <w:docPartGallery w:val="Page Numbers (Bottom of Page)"/>
          <w:docPartUnique/>
        </w:docPartObj>
      </w:sdtPr>
      <w:sdtContent>
        <w:r w:rsidRPr="00844C20">
          <w:rPr>
            <w:rFonts w:ascii="Trebuchet MS" w:hAnsi="Trebuchet MS"/>
            <w:sz w:val="20"/>
            <w:szCs w:val="20"/>
          </w:rPr>
          <w:fldChar w:fldCharType="begin"/>
        </w:r>
        <w:r w:rsidRPr="00844C20">
          <w:rPr>
            <w:rFonts w:ascii="Trebuchet MS" w:hAnsi="Trebuchet MS"/>
            <w:sz w:val="20"/>
            <w:szCs w:val="20"/>
          </w:rPr>
          <w:instrText xml:space="preserve"> PAGE   \* MERGEFORMAT </w:instrText>
        </w:r>
        <w:r w:rsidRPr="00844C20">
          <w:rPr>
            <w:rFonts w:ascii="Trebuchet MS" w:hAnsi="Trebuchet MS"/>
            <w:sz w:val="20"/>
            <w:szCs w:val="20"/>
          </w:rPr>
          <w:fldChar w:fldCharType="separate"/>
        </w:r>
        <w:r w:rsidR="00275A50">
          <w:rPr>
            <w:rFonts w:ascii="Trebuchet MS" w:hAnsi="Trebuchet MS"/>
            <w:noProof/>
            <w:sz w:val="20"/>
            <w:szCs w:val="20"/>
          </w:rPr>
          <w:t>21</w:t>
        </w:r>
        <w:r w:rsidRPr="00844C20">
          <w:rPr>
            <w:rFonts w:ascii="Trebuchet MS" w:hAnsi="Trebuchet MS"/>
            <w:sz w:val="20"/>
            <w:szCs w:val="20"/>
          </w:rPr>
          <w:fldChar w:fldCharType="end"/>
        </w:r>
        <w:r>
          <w:rPr>
            <w:rFonts w:ascii="Trebuchet MS" w:hAnsi="Trebuchet MS"/>
            <w:sz w:val="20"/>
            <w:szCs w:val="20"/>
          </w:rPr>
          <w:t xml:space="preserve"> of 101</w:t>
        </w:r>
      </w:sdtContent>
    </w:sdt>
  </w:p>
  <w:p w:rsidR="00691C1F" w:rsidRPr="006B303E" w:rsidRDefault="00691C1F" w:rsidP="00D01C04">
    <w:pPr>
      <w:pStyle w:val="Header"/>
      <w:rPr>
        <w:color w:val="A6A6A6" w:themeColor="background1" w:themeShade="A6"/>
        <w:sz w:val="20"/>
        <w:szCs w:val="20"/>
      </w:rPr>
    </w:pPr>
    <w:r w:rsidRPr="006B303E">
      <w:rPr>
        <w:rFonts w:ascii="Trebuchet MS" w:hAnsi="Trebuchet MS"/>
        <w:color w:val="A6A6A6" w:themeColor="background1" w:themeShade="A6"/>
        <w:sz w:val="20"/>
        <w:szCs w:val="20"/>
      </w:rPr>
      <w:t xml:space="preserve">CPRE </w:t>
    </w:r>
    <w:r>
      <w:rPr>
        <w:rFonts w:ascii="Trebuchet MS" w:hAnsi="Trebuchet MS"/>
        <w:color w:val="A6A6A6" w:themeColor="background1" w:themeShade="A6"/>
        <w:sz w:val="20"/>
        <w:szCs w:val="20"/>
      </w:rPr>
      <w:t xml:space="preserve">Shropshire </w:t>
    </w:r>
    <w:r w:rsidRPr="006B303E">
      <w:rPr>
        <w:rFonts w:ascii="Trebuchet MS" w:hAnsi="Trebuchet MS"/>
        <w:color w:val="A6A6A6" w:themeColor="background1" w:themeShade="A6"/>
        <w:sz w:val="20"/>
        <w:szCs w:val="20"/>
      </w:rPr>
      <w:t>Regulation 19 consultation</w:t>
    </w:r>
    <w:r>
      <w:rPr>
        <w:rFonts w:ascii="Trebuchet MS" w:hAnsi="Trebuchet MS"/>
        <w:color w:val="A6A6A6" w:themeColor="background1" w:themeShade="A6"/>
        <w:sz w:val="20"/>
        <w:szCs w:val="20"/>
      </w:rPr>
      <w:t xml:space="preserve"> response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Default="00691C1F" w:rsidP="00D01C04">
    <w:pPr>
      <w:pStyle w:val="Footer"/>
      <w:jc w:val="right"/>
      <w:rPr>
        <w:rFonts w:ascii="Trebuchet MS" w:hAnsi="Trebuchet MS"/>
        <w:sz w:val="20"/>
        <w:szCs w:val="20"/>
      </w:rPr>
    </w:pPr>
  </w:p>
  <w:p w:rsidR="00691C1F" w:rsidRPr="00911844" w:rsidRDefault="00691C1F" w:rsidP="00D01C04">
    <w:pPr>
      <w:pStyle w:val="Footer"/>
      <w:jc w:val="right"/>
      <w:rPr>
        <w:rFonts w:ascii="Trebuchet MS" w:hAnsi="Trebuchet MS"/>
        <w:sz w:val="20"/>
        <w:szCs w:val="20"/>
      </w:rPr>
    </w:pPr>
    <w:r w:rsidRPr="00844C20">
      <w:rPr>
        <w:rFonts w:ascii="Trebuchet MS" w:hAnsi="Trebuchet MS"/>
        <w:sz w:val="20"/>
        <w:szCs w:val="20"/>
      </w:rPr>
      <w:t xml:space="preserve">Page </w:t>
    </w:r>
    <w:sdt>
      <w:sdtPr>
        <w:rPr>
          <w:rFonts w:ascii="Trebuchet MS" w:hAnsi="Trebuchet MS"/>
          <w:sz w:val="20"/>
          <w:szCs w:val="20"/>
        </w:rPr>
        <w:id w:val="-1551601884"/>
        <w:docPartObj>
          <w:docPartGallery w:val="Page Numbers (Bottom of Page)"/>
          <w:docPartUnique/>
        </w:docPartObj>
      </w:sdtPr>
      <w:sdtContent>
        <w:r w:rsidRPr="00844C20">
          <w:rPr>
            <w:rFonts w:ascii="Trebuchet MS" w:hAnsi="Trebuchet MS"/>
            <w:sz w:val="20"/>
            <w:szCs w:val="20"/>
          </w:rPr>
          <w:fldChar w:fldCharType="begin"/>
        </w:r>
        <w:r w:rsidRPr="00844C20">
          <w:rPr>
            <w:rFonts w:ascii="Trebuchet MS" w:hAnsi="Trebuchet MS"/>
            <w:sz w:val="20"/>
            <w:szCs w:val="20"/>
          </w:rPr>
          <w:instrText xml:space="preserve"> PAGE   \* MERGEFORMAT </w:instrText>
        </w:r>
        <w:r w:rsidRPr="00844C20">
          <w:rPr>
            <w:rFonts w:ascii="Trebuchet MS" w:hAnsi="Trebuchet MS"/>
            <w:sz w:val="20"/>
            <w:szCs w:val="20"/>
          </w:rPr>
          <w:fldChar w:fldCharType="separate"/>
        </w:r>
        <w:r>
          <w:rPr>
            <w:rFonts w:ascii="Trebuchet MS" w:hAnsi="Trebuchet MS"/>
            <w:noProof/>
            <w:sz w:val="20"/>
            <w:szCs w:val="20"/>
          </w:rPr>
          <w:t>15</w:t>
        </w:r>
        <w:r w:rsidRPr="00844C20">
          <w:rPr>
            <w:rFonts w:ascii="Trebuchet MS" w:hAnsi="Trebuchet MS"/>
            <w:sz w:val="20"/>
            <w:szCs w:val="20"/>
          </w:rPr>
          <w:fldChar w:fldCharType="end"/>
        </w:r>
        <w:r>
          <w:rPr>
            <w:rFonts w:ascii="Trebuchet MS" w:hAnsi="Trebuchet MS"/>
            <w:sz w:val="20"/>
            <w:szCs w:val="20"/>
          </w:rPr>
          <w:t xml:space="preserve"> of 49</w:t>
        </w:r>
      </w:sdtContent>
    </w:sdt>
  </w:p>
  <w:p w:rsidR="00691C1F" w:rsidRPr="00D01C04" w:rsidRDefault="00691C1F" w:rsidP="00D01C04">
    <w:pPr>
      <w:pStyle w:val="Header"/>
      <w:rPr>
        <w:color w:val="A6A6A6" w:themeColor="background1" w:themeShade="A6"/>
        <w:sz w:val="20"/>
        <w:szCs w:val="20"/>
      </w:rPr>
    </w:pPr>
    <w:r w:rsidRPr="006B303E">
      <w:rPr>
        <w:rFonts w:ascii="Trebuchet MS" w:hAnsi="Trebuchet MS"/>
        <w:color w:val="A6A6A6" w:themeColor="background1" w:themeShade="A6"/>
        <w:sz w:val="20"/>
        <w:szCs w:val="20"/>
      </w:rPr>
      <w:t xml:space="preserve">CPRE </w:t>
    </w:r>
    <w:r>
      <w:rPr>
        <w:rFonts w:ascii="Trebuchet MS" w:hAnsi="Trebuchet MS"/>
        <w:color w:val="A6A6A6" w:themeColor="background1" w:themeShade="A6"/>
        <w:sz w:val="20"/>
        <w:szCs w:val="20"/>
      </w:rPr>
      <w:t xml:space="preserve">Regulation 19 </w:t>
    </w:r>
    <w:r w:rsidRPr="006B303E">
      <w:rPr>
        <w:rFonts w:ascii="Trebuchet MS" w:hAnsi="Trebuchet MS"/>
        <w:color w:val="A6A6A6" w:themeColor="background1" w:themeShade="A6"/>
        <w:sz w:val="20"/>
        <w:szCs w:val="20"/>
      </w:rPr>
      <w:t>consultation</w:t>
    </w:r>
    <w:r>
      <w:rPr>
        <w:rFonts w:ascii="Trebuchet MS" w:hAnsi="Trebuchet MS"/>
        <w:color w:val="A6A6A6" w:themeColor="background1" w:themeShade="A6"/>
        <w:sz w:val="20"/>
        <w:szCs w:val="20"/>
      </w:rPr>
      <w:t xml:space="preserve"> response</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Default="00691C1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Default="00691C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5BC9" w:rsidRDefault="00745BC9" w:rsidP="00D3044A">
      <w:r>
        <w:separator/>
      </w:r>
    </w:p>
  </w:footnote>
  <w:footnote w:type="continuationSeparator" w:id="0">
    <w:p w:rsidR="00745BC9" w:rsidRDefault="00745BC9" w:rsidP="00D3044A">
      <w:r>
        <w:continuationSeparator/>
      </w:r>
    </w:p>
  </w:footnote>
  <w:footnote w:id="1">
    <w:p w:rsidR="00691C1F" w:rsidRPr="003640F1" w:rsidRDefault="00691C1F">
      <w:pPr>
        <w:pStyle w:val="FootnoteText"/>
        <w:rPr>
          <w:rFonts w:asciiTheme="minorHAnsi" w:hAnsiTheme="minorHAnsi" w:cstheme="minorHAnsi"/>
        </w:rPr>
      </w:pPr>
      <w:r w:rsidRPr="003640F1">
        <w:rPr>
          <w:rStyle w:val="FootnoteReference"/>
          <w:rFonts w:asciiTheme="minorHAnsi" w:hAnsiTheme="minorHAnsi" w:cstheme="minorHAnsi"/>
        </w:rPr>
        <w:footnoteRef/>
      </w:r>
      <w:r w:rsidRPr="003640F1">
        <w:rPr>
          <w:rFonts w:asciiTheme="minorHAnsi" w:hAnsiTheme="minorHAnsi" w:cstheme="minorHAnsi"/>
        </w:rPr>
        <w:t xml:space="preserve"> See Appendix 2 to this submission</w:t>
      </w:r>
    </w:p>
  </w:footnote>
  <w:footnote w:id="2">
    <w:p w:rsidR="00691C1F" w:rsidRPr="008157E1" w:rsidRDefault="00691C1F" w:rsidP="008157E1">
      <w:pPr>
        <w:pStyle w:val="FootnoteText"/>
        <w:ind w:left="113" w:hanging="113"/>
        <w:rPr>
          <w:rFonts w:asciiTheme="minorHAnsi" w:hAnsiTheme="minorHAnsi" w:cstheme="minorHAnsi"/>
        </w:rPr>
      </w:pPr>
      <w:r w:rsidRPr="008157E1">
        <w:rPr>
          <w:rStyle w:val="FootnoteReference"/>
          <w:rFonts w:asciiTheme="minorHAnsi" w:hAnsiTheme="minorHAnsi" w:cstheme="minorHAnsi"/>
        </w:rPr>
        <w:footnoteRef/>
      </w:r>
      <w:r w:rsidRPr="008157E1">
        <w:rPr>
          <w:rFonts w:asciiTheme="minorHAnsi" w:hAnsiTheme="minorHAnsi" w:cstheme="minorHAnsi"/>
        </w:rPr>
        <w:t xml:space="preserve"> Paragraph 4.106 under DP11: Minimising Carbon Emissions and </w:t>
      </w:r>
      <w:r w:rsidRPr="008157E1">
        <w:rPr>
          <w:rFonts w:asciiTheme="minorHAnsi" w:hAnsiTheme="minorHAnsi" w:cstheme="minorHAnsi"/>
          <w:color w:val="000000"/>
          <w:szCs w:val="24"/>
        </w:rPr>
        <w:t>paragraph 4.183 under DP20: Water Management</w:t>
      </w:r>
    </w:p>
  </w:footnote>
  <w:footnote w:id="3">
    <w:p w:rsidR="00691C1F" w:rsidRPr="00A12A2B" w:rsidRDefault="00691C1F" w:rsidP="00493BF3">
      <w:pPr>
        <w:pStyle w:val="FootnoteText"/>
        <w:rPr>
          <w:rFonts w:asciiTheme="minorHAnsi" w:hAnsiTheme="minorHAnsi" w:cstheme="minorHAnsi"/>
        </w:rPr>
      </w:pPr>
      <w:r w:rsidRPr="00A12A2B">
        <w:rPr>
          <w:rStyle w:val="FootnoteReference"/>
          <w:rFonts w:asciiTheme="minorHAnsi" w:hAnsiTheme="minorHAnsi" w:cstheme="minorHAnsi"/>
        </w:rPr>
        <w:footnoteRef/>
      </w:r>
      <w:r w:rsidRPr="00A12A2B">
        <w:rPr>
          <w:rFonts w:asciiTheme="minorHAnsi" w:hAnsiTheme="minorHAnsi" w:cstheme="minorHAnsi"/>
        </w:rPr>
        <w:t xml:space="preserve"> See </w:t>
      </w:r>
      <w:hyperlink r:id="rId1" w:history="1">
        <w:r w:rsidRPr="00A12A2B">
          <w:rPr>
            <w:rFonts w:asciiTheme="minorHAnsi" w:hAnsiTheme="minorHAnsi" w:cstheme="minorHAnsi"/>
            <w:u w:val="single"/>
          </w:rPr>
          <w:t>Zero Carbon Shropshire Plan | Zero Carbon Shropshire</w:t>
        </w:r>
      </w:hyperlink>
    </w:p>
  </w:footnote>
  <w:footnote w:id="4">
    <w:p w:rsidR="00691C1F" w:rsidRPr="008157E1" w:rsidRDefault="00691C1F" w:rsidP="008157E1">
      <w:pPr>
        <w:pStyle w:val="FootnoteText"/>
        <w:ind w:left="113" w:hanging="113"/>
        <w:rPr>
          <w:rFonts w:asciiTheme="minorHAnsi" w:hAnsiTheme="minorHAnsi" w:cstheme="minorHAnsi"/>
        </w:rPr>
      </w:pPr>
      <w:r w:rsidRPr="008157E1">
        <w:rPr>
          <w:rStyle w:val="FootnoteReference"/>
          <w:rFonts w:asciiTheme="minorHAnsi" w:hAnsiTheme="minorHAnsi" w:cstheme="minorHAnsi"/>
        </w:rPr>
        <w:footnoteRef/>
      </w:r>
      <w:r w:rsidRPr="008157E1">
        <w:rPr>
          <w:rFonts w:asciiTheme="minorHAnsi" w:hAnsiTheme="minorHAnsi" w:cstheme="minorHAnsi"/>
        </w:rPr>
        <w:t xml:space="preserve"> Paragraph 4.106 under DP11: Minimising Carbon Emissions and </w:t>
      </w:r>
      <w:r w:rsidRPr="008157E1">
        <w:rPr>
          <w:rFonts w:asciiTheme="minorHAnsi" w:hAnsiTheme="minorHAnsi" w:cstheme="minorHAnsi"/>
          <w:color w:val="000000"/>
          <w:szCs w:val="24"/>
        </w:rPr>
        <w:t>paragraph 4.183 under DP20: Water Management</w:t>
      </w:r>
    </w:p>
  </w:footnote>
  <w:footnote w:id="5">
    <w:p w:rsidR="00691C1F" w:rsidRPr="00D96AC9" w:rsidRDefault="00691C1F" w:rsidP="00D96AC9">
      <w:pPr>
        <w:pStyle w:val="FootnoteText"/>
        <w:ind w:left="113" w:hanging="113"/>
        <w:rPr>
          <w:rFonts w:asciiTheme="minorHAnsi" w:hAnsiTheme="minorHAnsi" w:cstheme="minorHAnsi"/>
          <w:color w:val="000000" w:themeColor="text1"/>
        </w:rPr>
      </w:pPr>
      <w:r w:rsidRPr="00D96AC9">
        <w:rPr>
          <w:rStyle w:val="FootnoteReference"/>
          <w:rFonts w:asciiTheme="minorHAnsi" w:hAnsiTheme="minorHAnsi" w:cstheme="minorHAnsi"/>
          <w:color w:val="000000" w:themeColor="text1"/>
        </w:rPr>
        <w:footnoteRef/>
      </w:r>
      <w:r w:rsidRPr="00D96AC9">
        <w:rPr>
          <w:rFonts w:asciiTheme="minorHAnsi" w:hAnsiTheme="minorHAnsi" w:cstheme="minorHAnsi"/>
          <w:color w:val="000000" w:themeColor="text1"/>
        </w:rPr>
        <w:t xml:space="preserve"> See </w:t>
      </w:r>
      <w:hyperlink r:id="rId2" w:history="1">
        <w:r w:rsidRPr="00D96AC9">
          <w:rPr>
            <w:rFonts w:asciiTheme="minorHAnsi" w:hAnsiTheme="minorHAnsi" w:cstheme="minorHAnsi"/>
            <w:color w:val="000000" w:themeColor="text1"/>
            <w:u w:val="single"/>
          </w:rPr>
          <w:t>Agenda for Council on Thursday, 17th December, 2020, 10.00 am — Shropshire Council</w:t>
        </w:r>
      </w:hyperlink>
      <w:r w:rsidRPr="00D96AC9">
        <w:rPr>
          <w:rFonts w:asciiTheme="minorHAnsi" w:hAnsiTheme="minorHAnsi" w:cstheme="minorHAnsi"/>
          <w:color w:val="000000" w:themeColor="text1"/>
        </w:rPr>
        <w:t>, agenda item 9.  The minutes of the meeting record that it was resolved “</w:t>
      </w:r>
      <w:r w:rsidRPr="00D96AC9">
        <w:rPr>
          <w:rFonts w:asciiTheme="minorHAnsi" w:hAnsiTheme="minorHAnsi" w:cstheme="minorHAnsi"/>
        </w:rPr>
        <w:t>To approve the Corporate Climate Emergency Strategy, Action Plan and Project Pipeline 2020 (Appendices 1 and 2)</w:t>
      </w:r>
      <w:r>
        <w:rPr>
          <w:rFonts w:asciiTheme="minorHAnsi" w:hAnsiTheme="minorHAnsi" w:cstheme="minorHAnsi"/>
        </w:rPr>
        <w:t>”</w:t>
      </w:r>
    </w:p>
  </w:footnote>
  <w:footnote w:id="6">
    <w:p w:rsidR="00691C1F" w:rsidRPr="000D1060" w:rsidRDefault="00691C1F">
      <w:pPr>
        <w:pStyle w:val="FootnoteText"/>
        <w:rPr>
          <w:rFonts w:asciiTheme="minorHAnsi" w:hAnsiTheme="minorHAnsi" w:cstheme="minorHAnsi"/>
          <w:color w:val="000000" w:themeColor="text1"/>
        </w:rPr>
      </w:pPr>
      <w:r w:rsidRPr="000D1060">
        <w:rPr>
          <w:rStyle w:val="FootnoteReference"/>
          <w:rFonts w:asciiTheme="minorHAnsi" w:hAnsiTheme="minorHAnsi" w:cstheme="minorHAnsi"/>
          <w:color w:val="000000" w:themeColor="text1"/>
        </w:rPr>
        <w:footnoteRef/>
      </w:r>
      <w:r w:rsidRPr="000D1060">
        <w:rPr>
          <w:rFonts w:asciiTheme="minorHAnsi" w:hAnsiTheme="minorHAnsi" w:cstheme="minorHAnsi"/>
          <w:color w:val="000000" w:themeColor="text1"/>
        </w:rPr>
        <w:t xml:space="preserve"> See </w:t>
      </w:r>
      <w:hyperlink r:id="rId3" w:history="1">
        <w:r w:rsidRPr="000D1060">
          <w:rPr>
            <w:rFonts w:asciiTheme="minorHAnsi" w:hAnsiTheme="minorHAnsi" w:cstheme="minorHAnsi"/>
            <w:color w:val="000000" w:themeColor="text1"/>
            <w:u w:val="single"/>
          </w:rPr>
          <w:t>Climate Change Strategy | Shropshire Council</w:t>
        </w:r>
      </w:hyperlink>
    </w:p>
  </w:footnote>
  <w:footnote w:id="7">
    <w:p w:rsidR="00691C1F" w:rsidRPr="00A12A2B" w:rsidRDefault="00691C1F">
      <w:pPr>
        <w:pStyle w:val="FootnoteText"/>
        <w:rPr>
          <w:rFonts w:asciiTheme="minorHAnsi" w:hAnsiTheme="minorHAnsi" w:cstheme="minorHAnsi"/>
        </w:rPr>
      </w:pPr>
      <w:r w:rsidRPr="00A12A2B">
        <w:rPr>
          <w:rStyle w:val="FootnoteReference"/>
          <w:rFonts w:asciiTheme="minorHAnsi" w:hAnsiTheme="minorHAnsi" w:cstheme="minorHAnsi"/>
        </w:rPr>
        <w:footnoteRef/>
      </w:r>
      <w:r w:rsidRPr="00A12A2B">
        <w:rPr>
          <w:rFonts w:asciiTheme="minorHAnsi" w:hAnsiTheme="minorHAnsi" w:cstheme="minorHAnsi"/>
        </w:rPr>
        <w:t xml:space="preserve"> See </w:t>
      </w:r>
      <w:hyperlink r:id="rId4" w:history="1">
        <w:r w:rsidRPr="00A12A2B">
          <w:rPr>
            <w:rFonts w:asciiTheme="minorHAnsi" w:hAnsiTheme="minorHAnsi" w:cstheme="minorHAnsi"/>
            <w:u w:val="single"/>
          </w:rPr>
          <w:t>Zero Carbon Shropshire Plan | Zero Carbon Shropshire</w:t>
        </w:r>
      </w:hyperlink>
    </w:p>
  </w:footnote>
  <w:footnote w:id="8">
    <w:p w:rsidR="00691C1F" w:rsidRPr="00BA2EEC" w:rsidRDefault="00691C1F">
      <w:pPr>
        <w:pStyle w:val="FootnoteText"/>
        <w:rPr>
          <w:rFonts w:asciiTheme="minorHAnsi" w:hAnsiTheme="minorHAnsi" w:cstheme="minorHAnsi"/>
          <w:color w:val="000000" w:themeColor="text1"/>
        </w:rPr>
      </w:pPr>
      <w:r w:rsidRPr="00BA2EEC">
        <w:rPr>
          <w:rStyle w:val="FootnoteReference"/>
          <w:rFonts w:asciiTheme="minorHAnsi" w:hAnsiTheme="minorHAnsi" w:cstheme="minorHAnsi"/>
          <w:color w:val="000000" w:themeColor="text1"/>
        </w:rPr>
        <w:footnoteRef/>
      </w:r>
      <w:r w:rsidRPr="00BA2EEC">
        <w:rPr>
          <w:rFonts w:asciiTheme="minorHAnsi" w:hAnsiTheme="minorHAnsi" w:cstheme="minorHAnsi"/>
          <w:color w:val="000000" w:themeColor="text1"/>
        </w:rPr>
        <w:t xml:space="preserve"> </w:t>
      </w:r>
      <w:hyperlink r:id="rId5" w:history="1">
        <w:r w:rsidRPr="00BA2EEC">
          <w:rPr>
            <w:rFonts w:asciiTheme="minorHAnsi" w:hAnsiTheme="minorHAnsi" w:cstheme="minorHAnsi"/>
            <w:color w:val="000000" w:themeColor="text1"/>
            <w:u w:val="single"/>
          </w:rPr>
          <w:t>Shropshire Climate Action Partnership launches Zero Carbon Plan</w:t>
        </w:r>
      </w:hyperlink>
    </w:p>
  </w:footnote>
  <w:footnote w:id="9">
    <w:p w:rsidR="00691C1F" w:rsidRPr="003C6AB9" w:rsidRDefault="00691C1F">
      <w:pPr>
        <w:pStyle w:val="FootnoteText"/>
        <w:rPr>
          <w:rFonts w:asciiTheme="minorHAnsi" w:hAnsiTheme="minorHAnsi" w:cstheme="minorHAnsi"/>
        </w:rPr>
      </w:pPr>
      <w:r w:rsidRPr="003C6AB9">
        <w:rPr>
          <w:rStyle w:val="FootnoteReference"/>
          <w:rFonts w:asciiTheme="minorHAnsi" w:hAnsiTheme="minorHAnsi" w:cstheme="minorHAnsi"/>
        </w:rPr>
        <w:footnoteRef/>
      </w:r>
      <w:r w:rsidRPr="003C6AB9">
        <w:rPr>
          <w:rFonts w:asciiTheme="minorHAnsi" w:hAnsiTheme="minorHAnsi" w:cstheme="minorHAnsi"/>
        </w:rPr>
        <w:t xml:space="preserve"> See </w:t>
      </w:r>
      <w:hyperlink r:id="rId6" w:history="1">
        <w:r w:rsidRPr="003C6AB9">
          <w:rPr>
            <w:rFonts w:asciiTheme="minorHAnsi" w:hAnsiTheme="minorHAnsi" w:cstheme="minorHAnsi"/>
            <w:u w:val="single"/>
          </w:rPr>
          <w:t>Independent review of build out: final report - GOV.UK (www.gov.uk)</w:t>
        </w:r>
      </w:hyperlink>
    </w:p>
  </w:footnote>
  <w:footnote w:id="10">
    <w:p w:rsidR="00691C1F" w:rsidRPr="00992BD0" w:rsidRDefault="00691C1F">
      <w:pPr>
        <w:pStyle w:val="FootnoteText"/>
        <w:rPr>
          <w:rFonts w:asciiTheme="minorHAnsi" w:hAnsiTheme="minorHAnsi" w:cstheme="minorHAnsi"/>
        </w:rPr>
      </w:pPr>
      <w:r w:rsidRPr="00992BD0">
        <w:rPr>
          <w:rStyle w:val="FootnoteReference"/>
          <w:rFonts w:asciiTheme="minorHAnsi" w:hAnsiTheme="minorHAnsi" w:cstheme="minorHAnsi"/>
        </w:rPr>
        <w:footnoteRef/>
      </w:r>
      <w:r w:rsidRPr="00992BD0">
        <w:rPr>
          <w:rFonts w:asciiTheme="minorHAnsi" w:hAnsiTheme="minorHAnsi" w:cstheme="minorHAnsi"/>
        </w:rPr>
        <w:t xml:space="preserve"> Paragraph 3.109, and others, of SP12: </w:t>
      </w:r>
      <w:r w:rsidRPr="00992BD0">
        <w:rPr>
          <w:rFonts w:asciiTheme="minorHAnsi" w:hAnsiTheme="minorHAnsi" w:cstheme="minorHAnsi"/>
          <w:szCs w:val="24"/>
          <w:lang w:eastAsia="en-GB"/>
        </w:rPr>
        <w:t>Shropshire Economic Growth Strategy</w:t>
      </w:r>
    </w:p>
  </w:footnote>
  <w:footnote w:id="11">
    <w:p w:rsidR="00691C1F" w:rsidRPr="009C40E0" w:rsidRDefault="00691C1F">
      <w:pPr>
        <w:pStyle w:val="FootnoteText"/>
        <w:rPr>
          <w:rFonts w:asciiTheme="minorHAnsi" w:hAnsiTheme="minorHAnsi" w:cstheme="minorHAnsi"/>
        </w:rPr>
      </w:pPr>
      <w:r w:rsidRPr="009C40E0">
        <w:rPr>
          <w:rStyle w:val="FootnoteReference"/>
          <w:rFonts w:asciiTheme="minorHAnsi" w:hAnsiTheme="minorHAnsi" w:cstheme="minorHAnsi"/>
        </w:rPr>
        <w:footnoteRef/>
      </w:r>
      <w:r w:rsidRPr="009C40E0">
        <w:rPr>
          <w:rFonts w:asciiTheme="minorHAnsi" w:hAnsiTheme="minorHAnsi" w:cstheme="minorHAnsi"/>
        </w:rPr>
        <w:t xml:space="preserve"> As derived from the footnote to Table 7 on page 42 of the </w:t>
      </w:r>
      <w:r w:rsidRPr="009C40E0">
        <w:rPr>
          <w:rFonts w:asciiTheme="minorHAnsi" w:hAnsiTheme="minorHAnsi" w:cstheme="minorHAnsi"/>
          <w:szCs w:val="24"/>
          <w:lang w:eastAsia="en-GB"/>
        </w:rPr>
        <w:t>Preferred Scale and Distribution of Development document</w:t>
      </w:r>
    </w:p>
  </w:footnote>
  <w:footnote w:id="12">
    <w:p w:rsidR="00691C1F" w:rsidRPr="00121318" w:rsidRDefault="00691C1F">
      <w:pPr>
        <w:pStyle w:val="FootnoteText"/>
        <w:rPr>
          <w:rFonts w:asciiTheme="minorHAnsi" w:hAnsiTheme="minorHAnsi" w:cstheme="minorHAnsi"/>
        </w:rPr>
      </w:pPr>
      <w:r w:rsidRPr="00121318">
        <w:rPr>
          <w:rStyle w:val="FootnoteReference"/>
          <w:rFonts w:asciiTheme="minorHAnsi" w:hAnsiTheme="minorHAnsi" w:cstheme="minorHAnsi"/>
        </w:rPr>
        <w:footnoteRef/>
      </w:r>
      <w:r w:rsidRPr="00121318">
        <w:rPr>
          <w:rFonts w:asciiTheme="minorHAnsi" w:hAnsiTheme="minorHAnsi" w:cstheme="minorHAnsi"/>
        </w:rPr>
        <w:t xml:space="preserve"> See under “P” in the Evidence Base at </w:t>
      </w:r>
      <w:hyperlink r:id="rId7" w:history="1">
        <w:r w:rsidRPr="00121318">
          <w:rPr>
            <w:rFonts w:asciiTheme="minorHAnsi" w:hAnsiTheme="minorHAnsi" w:cstheme="minorHAnsi"/>
            <w:u w:val="single"/>
          </w:rPr>
          <w:t>Evidence base | Shropshire Council</w:t>
        </w:r>
      </w:hyperlink>
    </w:p>
  </w:footnote>
  <w:footnote w:id="13">
    <w:p w:rsidR="00691C1F" w:rsidRPr="00D171A0" w:rsidRDefault="00691C1F" w:rsidP="00D171A0">
      <w:pPr>
        <w:pStyle w:val="FootnoteText"/>
        <w:ind w:left="113" w:hanging="113"/>
        <w:rPr>
          <w:rFonts w:asciiTheme="minorHAnsi" w:hAnsiTheme="minorHAnsi" w:cstheme="minorHAnsi"/>
        </w:rPr>
      </w:pPr>
      <w:r w:rsidRPr="00D171A0">
        <w:rPr>
          <w:rStyle w:val="FootnoteReference"/>
          <w:rFonts w:asciiTheme="minorHAnsi" w:hAnsiTheme="minorHAnsi" w:cstheme="minorHAnsi"/>
        </w:rPr>
        <w:footnoteRef/>
      </w:r>
      <w:r w:rsidRPr="00D171A0">
        <w:rPr>
          <w:rFonts w:asciiTheme="minorHAnsi" w:hAnsiTheme="minorHAnsi" w:cstheme="minorHAnsi"/>
        </w:rPr>
        <w:t xml:space="preserve"> See pages 3 and 6 of the Economic Growth For</w:t>
      </w:r>
      <w:r>
        <w:rPr>
          <w:rFonts w:asciiTheme="minorHAnsi" w:hAnsiTheme="minorHAnsi" w:cstheme="minorHAnsi"/>
        </w:rPr>
        <w:t>ecast under</w:t>
      </w:r>
      <w:r w:rsidRPr="00D171A0">
        <w:rPr>
          <w:rFonts w:asciiTheme="minorHAnsi" w:hAnsiTheme="minorHAnsi" w:cstheme="minorHAnsi"/>
        </w:rPr>
        <w:t xml:space="preserve"> “E” in the Evidence Base at </w:t>
      </w:r>
      <w:hyperlink r:id="rId8" w:history="1">
        <w:r w:rsidRPr="00D171A0">
          <w:rPr>
            <w:rFonts w:asciiTheme="minorHAnsi" w:hAnsiTheme="minorHAnsi" w:cstheme="minorHAnsi"/>
            <w:u w:val="single"/>
          </w:rPr>
          <w:t>Evidence base | Shropshire Council</w:t>
        </w:r>
      </w:hyperlink>
    </w:p>
  </w:footnote>
  <w:footnote w:id="14">
    <w:p w:rsidR="00691C1F" w:rsidRPr="00DF6545" w:rsidRDefault="00691C1F">
      <w:pPr>
        <w:pStyle w:val="FootnoteText"/>
        <w:rPr>
          <w:rFonts w:asciiTheme="minorHAnsi" w:hAnsiTheme="minorHAnsi" w:cstheme="minorHAnsi"/>
        </w:rPr>
      </w:pPr>
      <w:r w:rsidRPr="00DF6545">
        <w:rPr>
          <w:rStyle w:val="FootnoteReference"/>
          <w:rFonts w:asciiTheme="minorHAnsi" w:hAnsiTheme="minorHAnsi" w:cstheme="minorHAnsi"/>
        </w:rPr>
        <w:footnoteRef/>
      </w:r>
      <w:r w:rsidRPr="00DF6545">
        <w:rPr>
          <w:rFonts w:asciiTheme="minorHAnsi" w:hAnsiTheme="minorHAnsi" w:cstheme="minorHAnsi"/>
        </w:rPr>
        <w:t xml:space="preserve"> See NPPF</w:t>
      </w:r>
      <w:r>
        <w:rPr>
          <w:rFonts w:asciiTheme="minorHAnsi" w:hAnsiTheme="minorHAnsi" w:cstheme="minorHAnsi"/>
        </w:rPr>
        <w:t xml:space="preserve"> paragraph 35.</w:t>
      </w:r>
      <w:r w:rsidRPr="00DF6545">
        <w:rPr>
          <w:rFonts w:asciiTheme="minorHAnsi" w:hAnsiTheme="minorHAnsi" w:cstheme="minorHAnsi"/>
        </w:rPr>
        <w:t>c</w:t>
      </w:r>
      <w:r>
        <w:rPr>
          <w:rFonts w:asciiTheme="minorHAnsi" w:hAnsiTheme="minorHAnsi" w:cstheme="minorHAnsi"/>
        </w:rPr>
        <w:t>)</w:t>
      </w:r>
    </w:p>
  </w:footnote>
  <w:footnote w:id="15">
    <w:p w:rsidR="00691C1F" w:rsidRPr="00EF2963" w:rsidRDefault="00691C1F">
      <w:pPr>
        <w:pStyle w:val="FootnoteText"/>
        <w:rPr>
          <w:rFonts w:asciiTheme="minorHAnsi" w:hAnsiTheme="minorHAnsi" w:cstheme="minorHAnsi"/>
        </w:rPr>
      </w:pPr>
      <w:r w:rsidRPr="00EF2963">
        <w:rPr>
          <w:rStyle w:val="FootnoteReference"/>
          <w:rFonts w:asciiTheme="minorHAnsi" w:hAnsiTheme="minorHAnsi" w:cstheme="minorHAnsi"/>
        </w:rPr>
        <w:footnoteRef/>
      </w:r>
      <w:r w:rsidRPr="00EF2963">
        <w:rPr>
          <w:rFonts w:asciiTheme="minorHAnsi" w:hAnsiTheme="minorHAnsi" w:cstheme="minorHAnsi"/>
        </w:rPr>
        <w:t xml:space="preserve"> </w:t>
      </w:r>
      <w:r w:rsidRPr="00EF2963">
        <w:rPr>
          <w:rFonts w:asciiTheme="minorHAnsi" w:eastAsiaTheme="minorHAnsi" w:hAnsiTheme="minorHAnsi" w:cstheme="minorHAnsi"/>
          <w:lang w:eastAsia="en-GB"/>
        </w:rPr>
        <w:t>https://www.legislation.gov.uk/ukpga/2008/29/section/182</w:t>
      </w:r>
    </w:p>
  </w:footnote>
  <w:footnote w:id="16">
    <w:p w:rsidR="00691C1F" w:rsidRPr="001D3132" w:rsidRDefault="00691C1F">
      <w:pPr>
        <w:pStyle w:val="FootnoteText"/>
        <w:rPr>
          <w:rFonts w:asciiTheme="minorHAnsi" w:hAnsiTheme="minorHAnsi" w:cstheme="minorHAnsi"/>
        </w:rPr>
      </w:pPr>
      <w:r w:rsidRPr="001D3132">
        <w:rPr>
          <w:rStyle w:val="FootnoteReference"/>
          <w:rFonts w:asciiTheme="minorHAnsi" w:hAnsiTheme="minorHAnsi" w:cstheme="minorHAnsi"/>
        </w:rPr>
        <w:footnoteRef/>
      </w:r>
      <w:r w:rsidRPr="001D3132">
        <w:rPr>
          <w:rFonts w:asciiTheme="minorHAnsi" w:hAnsiTheme="minorHAnsi" w:cstheme="minorHAnsi"/>
        </w:rPr>
        <w:t xml:space="preserve"> Page 12 of </w:t>
      </w:r>
      <w:r w:rsidRPr="001D3132">
        <w:rPr>
          <w:rFonts w:asciiTheme="minorHAnsi" w:hAnsiTheme="minorHAnsi" w:cstheme="minorHAnsi"/>
          <w:bCs/>
          <w:color w:val="000000"/>
          <w:szCs w:val="24"/>
        </w:rPr>
        <w:t xml:space="preserve">Shropshire Council - Towards Net-Zero Carbon - </w:t>
      </w:r>
      <w:r w:rsidRPr="001D3132">
        <w:rPr>
          <w:rFonts w:asciiTheme="minorHAnsi" w:hAnsiTheme="minorHAnsi" w:cstheme="minorHAnsi"/>
          <w:bCs/>
          <w:i/>
          <w:iCs/>
          <w:color w:val="000000"/>
          <w:szCs w:val="24"/>
        </w:rPr>
        <w:t>Corporate Climate Strategy”</w:t>
      </w:r>
      <w:r w:rsidRPr="001D3132">
        <w:rPr>
          <w:rFonts w:asciiTheme="minorHAnsi" w:hAnsiTheme="minorHAnsi" w:cstheme="minorHAnsi"/>
          <w:bCs/>
          <w:i/>
          <w:iCs/>
          <w:color w:val="000000"/>
        </w:rPr>
        <w:t xml:space="preserve">, </w:t>
      </w:r>
      <w:r w:rsidRPr="001D3132">
        <w:rPr>
          <w:rFonts w:asciiTheme="minorHAnsi" w:hAnsiTheme="minorHAnsi" w:cstheme="minorHAnsi"/>
          <w:bCs/>
          <w:iCs/>
          <w:color w:val="000000"/>
        </w:rPr>
        <w:t>dated November 2020</w:t>
      </w:r>
    </w:p>
  </w:footnote>
  <w:footnote w:id="17">
    <w:p w:rsidR="00691C1F" w:rsidRPr="00251DDF" w:rsidRDefault="00691C1F">
      <w:pPr>
        <w:pStyle w:val="FootnoteText"/>
        <w:rPr>
          <w:rFonts w:asciiTheme="minorHAnsi" w:hAnsiTheme="minorHAnsi" w:cstheme="minorHAnsi"/>
        </w:rPr>
      </w:pPr>
      <w:r w:rsidRPr="00251DDF">
        <w:rPr>
          <w:rStyle w:val="FootnoteReference"/>
          <w:rFonts w:asciiTheme="minorHAnsi" w:hAnsiTheme="minorHAnsi" w:cstheme="minorHAnsi"/>
        </w:rPr>
        <w:footnoteRef/>
      </w:r>
      <w:r w:rsidRPr="00251DDF">
        <w:rPr>
          <w:rFonts w:asciiTheme="minorHAnsi" w:hAnsiTheme="minorHAnsi" w:cstheme="minorHAnsi"/>
        </w:rPr>
        <w:t xml:space="preserve"> Page 16 of the ZCS plan</w:t>
      </w:r>
    </w:p>
  </w:footnote>
  <w:footnote w:id="18">
    <w:p w:rsidR="00691C1F" w:rsidRPr="00DA6BE7" w:rsidRDefault="00691C1F" w:rsidP="00DA6BE7">
      <w:pPr>
        <w:pStyle w:val="Default"/>
        <w:rPr>
          <w:rFonts w:ascii="Calibri" w:hAnsi="Calibri" w:cs="Calibri"/>
        </w:rPr>
      </w:pPr>
      <w:r w:rsidRPr="00DA6BE7">
        <w:rPr>
          <w:rStyle w:val="FootnoteReference"/>
          <w:rFonts w:ascii="Times New Roman" w:eastAsia="Times New Roman" w:hAnsi="Times New Roman" w:cs="Times New Roman"/>
          <w:color w:val="auto"/>
          <w:sz w:val="20"/>
          <w:szCs w:val="20"/>
        </w:rPr>
        <w:footnoteRef/>
      </w:r>
      <w:r>
        <w:t xml:space="preserve"> </w:t>
      </w:r>
      <w:r w:rsidRPr="00890045">
        <w:rPr>
          <w:rFonts w:ascii="Calibri" w:hAnsi="Calibri" w:cs="Calibri"/>
          <w:bCs/>
          <w:sz w:val="20"/>
          <w:szCs w:val="20"/>
        </w:rPr>
        <w:t xml:space="preserve">Shropshire Council </w:t>
      </w:r>
      <w:r w:rsidRPr="00890045">
        <w:rPr>
          <w:rFonts w:ascii="Calibri" w:hAnsi="Calibri" w:cs="Calibri"/>
          <w:bCs/>
          <w:color w:val="000000" w:themeColor="text1"/>
          <w:sz w:val="20"/>
          <w:szCs w:val="20"/>
        </w:rPr>
        <w:t xml:space="preserve">Strategic Housing Market Assessment Report: </w:t>
      </w:r>
      <w:r w:rsidRPr="00DA6BE7">
        <w:rPr>
          <w:rFonts w:ascii="Calibri" w:hAnsi="Calibri" w:cs="Calibri"/>
          <w:bCs/>
          <w:color w:val="000000" w:themeColor="text1"/>
          <w:sz w:val="20"/>
          <w:szCs w:val="20"/>
        </w:rPr>
        <w:t>Part 2</w:t>
      </w:r>
      <w:r>
        <w:rPr>
          <w:rFonts w:ascii="Calibri" w:hAnsi="Calibri" w:cs="Calibri"/>
          <w:bCs/>
          <w:color w:val="000000" w:themeColor="text1"/>
          <w:sz w:val="20"/>
          <w:szCs w:val="20"/>
        </w:rPr>
        <w:t xml:space="preserve"> September 2020, page 50, Table 35</w:t>
      </w:r>
    </w:p>
  </w:footnote>
  <w:footnote w:id="19">
    <w:p w:rsidR="00691C1F" w:rsidRPr="00FF4557" w:rsidRDefault="00691C1F">
      <w:pPr>
        <w:pStyle w:val="FootnoteText"/>
        <w:rPr>
          <w:rFonts w:asciiTheme="minorHAnsi" w:hAnsiTheme="minorHAnsi" w:cstheme="minorHAnsi"/>
        </w:rPr>
      </w:pPr>
      <w:r w:rsidRPr="00FF4557">
        <w:rPr>
          <w:rStyle w:val="FootnoteReference"/>
          <w:rFonts w:asciiTheme="minorHAnsi" w:hAnsiTheme="minorHAnsi" w:cstheme="minorHAnsi"/>
        </w:rPr>
        <w:footnoteRef/>
      </w:r>
      <w:r w:rsidRPr="00FF4557">
        <w:rPr>
          <w:rFonts w:asciiTheme="minorHAnsi" w:hAnsiTheme="minorHAnsi" w:cstheme="minorHAnsi"/>
        </w:rPr>
        <w:t xml:space="preserve"> Policy DP3 clause 1a</w:t>
      </w:r>
    </w:p>
  </w:footnote>
  <w:footnote w:id="20">
    <w:p w:rsidR="00691C1F" w:rsidRPr="00D758AF" w:rsidRDefault="00691C1F">
      <w:pPr>
        <w:pStyle w:val="FootnoteText"/>
        <w:rPr>
          <w:rFonts w:asciiTheme="minorHAnsi" w:hAnsiTheme="minorHAnsi" w:cstheme="minorHAnsi"/>
          <w:color w:val="000000" w:themeColor="text1"/>
        </w:rPr>
      </w:pPr>
      <w:r w:rsidRPr="00D758AF">
        <w:rPr>
          <w:rStyle w:val="FootnoteReference"/>
          <w:rFonts w:asciiTheme="minorHAnsi" w:hAnsiTheme="minorHAnsi" w:cstheme="minorHAnsi"/>
          <w:color w:val="000000" w:themeColor="text1"/>
        </w:rPr>
        <w:footnoteRef/>
      </w:r>
      <w:r w:rsidRPr="00D758AF">
        <w:rPr>
          <w:rFonts w:asciiTheme="minorHAnsi" w:hAnsiTheme="minorHAnsi" w:cstheme="minorHAnsi"/>
          <w:color w:val="000000" w:themeColor="text1"/>
        </w:rPr>
        <w:t xml:space="preserve"> </w:t>
      </w:r>
      <w:hyperlink r:id="rId9" w:history="1">
        <w:r w:rsidRPr="00D758AF">
          <w:rPr>
            <w:rStyle w:val="Hyperlink"/>
            <w:rFonts w:asciiTheme="minorHAnsi" w:hAnsiTheme="minorHAnsi" w:cstheme="minorHAnsi"/>
            <w:color w:val="000000" w:themeColor="text1"/>
          </w:rPr>
          <w:t>https://shropshire.gov.uk/media/7231/amr-2017-18.pdf</w:t>
        </w:r>
      </w:hyperlink>
      <w:r w:rsidRPr="00D758AF">
        <w:rPr>
          <w:rFonts w:asciiTheme="minorHAnsi" w:hAnsiTheme="minorHAnsi" w:cstheme="minorHAnsi"/>
          <w:color w:val="000000" w:themeColor="text1"/>
        </w:rPr>
        <w:t xml:space="preserve"> - the latest AMR, for 2016/17, page 34</w:t>
      </w:r>
    </w:p>
  </w:footnote>
  <w:footnote w:id="21">
    <w:p w:rsidR="00691C1F" w:rsidRPr="00C91F54" w:rsidRDefault="00691C1F">
      <w:pPr>
        <w:pStyle w:val="FootnoteText"/>
        <w:rPr>
          <w:rFonts w:asciiTheme="minorHAnsi" w:hAnsiTheme="minorHAnsi" w:cstheme="minorHAnsi"/>
          <w:color w:val="000000" w:themeColor="text1"/>
        </w:rPr>
      </w:pPr>
      <w:r w:rsidRPr="00C91F54">
        <w:rPr>
          <w:rStyle w:val="FootnoteReference"/>
          <w:rFonts w:asciiTheme="minorHAnsi" w:hAnsiTheme="minorHAnsi" w:cstheme="minorHAnsi"/>
          <w:color w:val="000000" w:themeColor="text1"/>
        </w:rPr>
        <w:footnoteRef/>
      </w:r>
      <w:r w:rsidRPr="00C91F54">
        <w:rPr>
          <w:rFonts w:asciiTheme="minorHAnsi" w:hAnsiTheme="minorHAnsi" w:cstheme="minorHAnsi"/>
          <w:color w:val="000000" w:themeColor="text1"/>
        </w:rPr>
        <w:t xml:space="preserve"> </w:t>
      </w:r>
      <w:hyperlink r:id="rId10" w:history="1">
        <w:r w:rsidRPr="00C91F54">
          <w:rPr>
            <w:rFonts w:asciiTheme="minorHAnsi" w:hAnsiTheme="minorHAnsi" w:cstheme="minorHAnsi"/>
            <w:color w:val="000000" w:themeColor="text1"/>
            <w:u w:val="single"/>
          </w:rPr>
          <w:t>Right Home Right Place | Identifying Housing Need in Shropshire</w:t>
        </w:r>
      </w:hyperlink>
    </w:p>
  </w:footnote>
  <w:footnote w:id="22">
    <w:p w:rsidR="00691C1F" w:rsidRPr="00D85A4E" w:rsidRDefault="00691C1F">
      <w:pPr>
        <w:pStyle w:val="FootnoteText"/>
        <w:rPr>
          <w:rFonts w:asciiTheme="minorHAnsi" w:hAnsiTheme="minorHAnsi" w:cstheme="minorHAnsi"/>
        </w:rPr>
      </w:pPr>
      <w:r w:rsidRPr="00D85A4E">
        <w:rPr>
          <w:rStyle w:val="FootnoteReference"/>
          <w:rFonts w:asciiTheme="minorHAnsi" w:hAnsiTheme="minorHAnsi" w:cstheme="minorHAnsi"/>
        </w:rPr>
        <w:footnoteRef/>
      </w:r>
      <w:r w:rsidRPr="00D85A4E">
        <w:rPr>
          <w:rFonts w:asciiTheme="minorHAnsi" w:hAnsiTheme="minorHAnsi" w:cstheme="minorHAnsi"/>
        </w:rPr>
        <w:t xml:space="preserve"> </w:t>
      </w:r>
      <w:hyperlink r:id="rId11" w:history="1">
        <w:r w:rsidRPr="00D85A4E">
          <w:rPr>
            <w:rFonts w:asciiTheme="minorHAnsi" w:hAnsiTheme="minorHAnsi" w:cstheme="minorHAnsi"/>
            <w:u w:val="single"/>
          </w:rPr>
          <w:t>State of the Green Belt 2021 - CPRE</w:t>
        </w:r>
      </w:hyperlink>
    </w:p>
  </w:footnote>
  <w:footnote w:id="23">
    <w:p w:rsidR="00691C1F" w:rsidRPr="008E790C" w:rsidRDefault="00691C1F">
      <w:pPr>
        <w:pStyle w:val="FootnoteText"/>
        <w:rPr>
          <w:rFonts w:asciiTheme="minorHAnsi" w:hAnsiTheme="minorHAnsi" w:cstheme="minorHAnsi"/>
        </w:rPr>
      </w:pPr>
      <w:r w:rsidRPr="008E790C">
        <w:rPr>
          <w:rStyle w:val="FootnoteReference"/>
          <w:rFonts w:asciiTheme="minorHAnsi" w:hAnsiTheme="minorHAnsi" w:cstheme="minorHAnsi"/>
        </w:rPr>
        <w:footnoteRef/>
      </w:r>
      <w:r w:rsidRPr="008E790C">
        <w:rPr>
          <w:rFonts w:asciiTheme="minorHAnsi" w:hAnsiTheme="minorHAnsi" w:cstheme="minorHAnsi"/>
        </w:rPr>
        <w:t xml:space="preserve"> SAMDev policy MD6: Green Belt, clause 2</w:t>
      </w:r>
    </w:p>
  </w:footnote>
  <w:footnote w:id="24">
    <w:p w:rsidR="00691C1F" w:rsidRPr="00142026" w:rsidRDefault="00691C1F" w:rsidP="00E24B18">
      <w:pPr>
        <w:pStyle w:val="FootnoteText"/>
        <w:ind w:left="170" w:hanging="170"/>
        <w:rPr>
          <w:rFonts w:asciiTheme="minorHAnsi" w:hAnsiTheme="minorHAnsi" w:cstheme="minorHAnsi"/>
          <w:color w:val="000000" w:themeColor="text1"/>
        </w:rPr>
      </w:pPr>
      <w:r w:rsidRPr="00142026">
        <w:rPr>
          <w:rStyle w:val="FootnoteReference"/>
          <w:rFonts w:asciiTheme="minorHAnsi" w:hAnsiTheme="minorHAnsi" w:cstheme="minorHAnsi"/>
          <w:color w:val="000000" w:themeColor="text1"/>
        </w:rPr>
        <w:footnoteRef/>
      </w:r>
      <w:r w:rsidRPr="00142026">
        <w:rPr>
          <w:rFonts w:asciiTheme="minorHAnsi" w:hAnsiTheme="minorHAnsi" w:cstheme="minorHAnsi"/>
          <w:color w:val="000000" w:themeColor="text1"/>
        </w:rPr>
        <w:t xml:space="preserve"> </w:t>
      </w:r>
      <w:hyperlink r:id="rId12" w:history="1">
        <w:r w:rsidRPr="00142026">
          <w:rPr>
            <w:rFonts w:asciiTheme="minorHAnsi" w:hAnsiTheme="minorHAnsi" w:cstheme="minorHAnsi"/>
            <w:color w:val="000000" w:themeColor="text1"/>
            <w:u w:val="single"/>
          </w:rPr>
          <w:t>The Future Homes Standard: changes to Part L and Part F of the Building Regulations for new dwellings - GOV.UK (www.gov.uk)</w:t>
        </w:r>
      </w:hyperlink>
    </w:p>
  </w:footnote>
  <w:footnote w:id="25">
    <w:p w:rsidR="00691C1F" w:rsidRPr="00CD44CB" w:rsidRDefault="00691C1F">
      <w:pPr>
        <w:pStyle w:val="FootnoteText"/>
        <w:rPr>
          <w:rFonts w:asciiTheme="minorHAnsi" w:hAnsiTheme="minorHAnsi" w:cstheme="minorHAnsi"/>
        </w:rPr>
      </w:pPr>
      <w:r w:rsidRPr="00CD44CB">
        <w:rPr>
          <w:rStyle w:val="FootnoteReference"/>
          <w:rFonts w:asciiTheme="minorHAnsi" w:hAnsiTheme="minorHAnsi" w:cstheme="minorHAnsi"/>
        </w:rPr>
        <w:footnoteRef/>
      </w:r>
      <w:r w:rsidRPr="00CD44CB">
        <w:rPr>
          <w:rFonts w:asciiTheme="minorHAnsi" w:hAnsiTheme="minorHAnsi" w:cstheme="minorHAnsi"/>
        </w:rPr>
        <w:t xml:space="preserve"> See </w:t>
      </w:r>
      <w:hyperlink r:id="rId13" w:history="1">
        <w:r w:rsidRPr="00CD44CB">
          <w:rPr>
            <w:rFonts w:asciiTheme="minorHAnsi" w:hAnsiTheme="minorHAnsi" w:cstheme="minorHAnsi"/>
            <w:u w:val="single"/>
          </w:rPr>
          <w:t>Shropshire Hills AONB - Area of Outstanding Natural Beauty</w:t>
        </w:r>
      </w:hyperlink>
    </w:p>
  </w:footnote>
  <w:footnote w:id="26">
    <w:p w:rsidR="00691C1F" w:rsidRPr="00081633" w:rsidRDefault="00691C1F" w:rsidP="009E0C85">
      <w:pPr>
        <w:pStyle w:val="FootnoteText"/>
        <w:rPr>
          <w:rFonts w:asciiTheme="minorHAnsi" w:hAnsiTheme="minorHAnsi" w:cstheme="minorHAnsi"/>
          <w:color w:val="000000" w:themeColor="text1"/>
        </w:rPr>
      </w:pPr>
      <w:r w:rsidRPr="00081633">
        <w:rPr>
          <w:rStyle w:val="FootnoteReference"/>
          <w:rFonts w:asciiTheme="minorHAnsi" w:hAnsiTheme="minorHAnsi" w:cstheme="minorHAnsi"/>
          <w:color w:val="000000" w:themeColor="text1"/>
        </w:rPr>
        <w:footnoteRef/>
      </w:r>
      <w:r w:rsidRPr="00081633">
        <w:rPr>
          <w:rFonts w:asciiTheme="minorHAnsi" w:hAnsiTheme="minorHAnsi" w:cstheme="minorHAnsi"/>
          <w:color w:val="000000" w:themeColor="text1"/>
        </w:rPr>
        <w:t xml:space="preserve"> </w:t>
      </w:r>
      <w:hyperlink r:id="rId14" w:history="1">
        <w:r w:rsidRPr="00081633">
          <w:rPr>
            <w:rStyle w:val="Hyperlink"/>
            <w:rFonts w:asciiTheme="minorHAnsi" w:hAnsiTheme="minorHAnsi" w:cstheme="minorHAnsi"/>
            <w:color w:val="000000" w:themeColor="text1"/>
          </w:rPr>
          <w:t>https://zerocarbonshropshire.org/wp-content/uploads/Zero-Carbon-Shropshire-Plan.pdf</w:t>
        </w:r>
      </w:hyperlink>
      <w:r w:rsidRPr="00081633">
        <w:rPr>
          <w:rFonts w:asciiTheme="minorHAnsi" w:hAnsiTheme="minorHAnsi" w:cstheme="minorHAnsi"/>
          <w:color w:val="000000" w:themeColor="text1"/>
        </w:rPr>
        <w:t xml:space="preserve"> </w:t>
      </w:r>
      <w:r w:rsidRPr="00081633">
        <w:rPr>
          <w:rFonts w:asciiTheme="minorHAnsi" w:eastAsia="Arial" w:hAnsiTheme="minorHAnsi" w:cstheme="minorHAnsi"/>
          <w:color w:val="000000" w:themeColor="text1"/>
          <w:w w:val="105"/>
          <w:lang w:val="en-US"/>
        </w:rPr>
        <w:t xml:space="preserve">page </w:t>
      </w:r>
      <w:r>
        <w:rPr>
          <w:rFonts w:asciiTheme="minorHAnsi" w:eastAsia="Arial" w:hAnsiTheme="minorHAnsi" w:cstheme="minorHAnsi"/>
          <w:color w:val="000000" w:themeColor="text1"/>
          <w:w w:val="105"/>
          <w:lang w:val="en-US"/>
        </w:rPr>
        <w:t>22</w:t>
      </w:r>
    </w:p>
  </w:footnote>
  <w:footnote w:id="27">
    <w:p w:rsidR="00691C1F" w:rsidRPr="003E4880" w:rsidRDefault="00691C1F" w:rsidP="009E0C85">
      <w:pPr>
        <w:pStyle w:val="FootnoteText"/>
        <w:ind w:left="170" w:hanging="170"/>
        <w:rPr>
          <w:rFonts w:asciiTheme="minorHAnsi" w:hAnsiTheme="minorHAnsi" w:cstheme="minorHAnsi"/>
        </w:rPr>
      </w:pPr>
      <w:r w:rsidRPr="003E4880">
        <w:rPr>
          <w:rStyle w:val="FootnoteReference"/>
          <w:rFonts w:asciiTheme="minorHAnsi" w:hAnsiTheme="minorHAnsi" w:cstheme="minorHAnsi"/>
        </w:rPr>
        <w:footnoteRef/>
      </w:r>
      <w:r w:rsidRPr="003E4880">
        <w:rPr>
          <w:rFonts w:asciiTheme="minorHAnsi" w:hAnsiTheme="minorHAnsi" w:cstheme="minorHAnsi"/>
        </w:rPr>
        <w:t xml:space="preserve"> See </w:t>
      </w:r>
      <w:hyperlink r:id="rId15" w:history="1">
        <w:r w:rsidRPr="003E4880">
          <w:rPr>
            <w:rFonts w:asciiTheme="minorHAnsi" w:eastAsia="Arial" w:hAnsiTheme="minorHAnsi" w:cstheme="minorHAnsi"/>
            <w:color w:val="000000" w:themeColor="text1"/>
            <w:w w:val="105"/>
            <w:szCs w:val="24"/>
            <w:lang w:val="en-US"/>
          </w:rPr>
          <w:t>https://assets.publishing.service.gov.uk/government/uploads/system/uploads/attachment_data/file/225689/Planning_Practice_Guidance_for_Renewable_and_Low_Carbon_Energy.pdf</w:t>
        </w:r>
      </w:hyperlink>
    </w:p>
  </w:footnote>
  <w:footnote w:id="28">
    <w:p w:rsidR="00691C1F" w:rsidRPr="00196CAD" w:rsidRDefault="00691C1F">
      <w:pPr>
        <w:pStyle w:val="FootnoteText"/>
        <w:rPr>
          <w:rFonts w:asciiTheme="minorHAnsi" w:hAnsiTheme="minorHAnsi" w:cstheme="minorHAnsi"/>
          <w:color w:val="000000" w:themeColor="text1"/>
        </w:rPr>
      </w:pPr>
      <w:r w:rsidRPr="00196CAD">
        <w:rPr>
          <w:rStyle w:val="FootnoteReference"/>
          <w:rFonts w:asciiTheme="minorHAnsi" w:hAnsiTheme="minorHAnsi" w:cstheme="minorHAnsi"/>
          <w:color w:val="000000" w:themeColor="text1"/>
        </w:rPr>
        <w:footnoteRef/>
      </w:r>
      <w:r w:rsidRPr="00196CAD">
        <w:rPr>
          <w:rFonts w:asciiTheme="minorHAnsi" w:hAnsiTheme="minorHAnsi" w:cstheme="minorHAnsi"/>
          <w:color w:val="000000" w:themeColor="text1"/>
        </w:rPr>
        <w:t xml:space="preserve"> </w:t>
      </w:r>
      <w:hyperlink r:id="rId16" w:anchor=":~:text=Our%20analysis%20shows%20that%20Bristol,exception%20rather%20than%20the%20norm." w:history="1">
        <w:r w:rsidRPr="00196CAD">
          <w:rPr>
            <w:rFonts w:asciiTheme="minorHAnsi" w:hAnsiTheme="minorHAnsi" w:cstheme="minorHAnsi"/>
            <w:color w:val="000000" w:themeColor="text1"/>
            <w:u w:val="single"/>
          </w:rPr>
          <w:t>Bristol Net Zero by 2030 | Centre for Sustainable Energy (cse.org.uk)</w:t>
        </w:r>
      </w:hyperlink>
    </w:p>
  </w:footnote>
  <w:footnote w:id="29">
    <w:p w:rsidR="00691C1F" w:rsidRPr="00CF1499" w:rsidRDefault="00691C1F">
      <w:pPr>
        <w:pStyle w:val="FootnoteText"/>
        <w:rPr>
          <w:rFonts w:asciiTheme="minorHAnsi" w:hAnsiTheme="minorHAnsi" w:cstheme="minorHAnsi"/>
          <w:color w:val="000000" w:themeColor="text1"/>
        </w:rPr>
      </w:pPr>
      <w:r w:rsidRPr="00CF1499">
        <w:rPr>
          <w:rStyle w:val="FootnoteReference"/>
          <w:rFonts w:asciiTheme="minorHAnsi" w:hAnsiTheme="minorHAnsi" w:cstheme="minorHAnsi"/>
          <w:color w:val="000000" w:themeColor="text1"/>
        </w:rPr>
        <w:footnoteRef/>
      </w:r>
      <w:r w:rsidRPr="00CF1499">
        <w:rPr>
          <w:rFonts w:asciiTheme="minorHAnsi" w:hAnsiTheme="minorHAnsi" w:cstheme="minorHAnsi"/>
          <w:color w:val="000000" w:themeColor="text1"/>
        </w:rPr>
        <w:t xml:space="preserve"> </w:t>
      </w:r>
      <w:hyperlink r:id="rId17" w:history="1">
        <w:r w:rsidRPr="00CF1499">
          <w:rPr>
            <w:rFonts w:asciiTheme="minorHAnsi" w:hAnsiTheme="minorHAnsi" w:cstheme="minorHAnsi"/>
            <w:color w:val="000000" w:themeColor="text1"/>
            <w:u w:val="single"/>
          </w:rPr>
          <w:t>Sector-summary-Surface-transport.pdf (theccc.org.uk)</w:t>
        </w:r>
      </w:hyperlink>
      <w:r w:rsidRPr="00CF1499">
        <w:rPr>
          <w:rFonts w:asciiTheme="minorHAnsi" w:hAnsiTheme="minorHAnsi" w:cstheme="minorHAnsi"/>
          <w:color w:val="000000" w:themeColor="text1"/>
        </w:rPr>
        <w:t xml:space="preserve"> page 71</w:t>
      </w:r>
      <w:r>
        <w:rPr>
          <w:rFonts w:asciiTheme="minorHAnsi" w:hAnsiTheme="minorHAnsi" w:cstheme="minorHAnsi"/>
          <w:color w:val="000000" w:themeColor="text1"/>
        </w:rPr>
        <w:t xml:space="preserve"> (the Sixth Carbon Budget, Surface Transport)</w:t>
      </w:r>
    </w:p>
  </w:footnote>
  <w:footnote w:id="30">
    <w:p w:rsidR="00691C1F" w:rsidRPr="00494783" w:rsidRDefault="00691C1F">
      <w:pPr>
        <w:pStyle w:val="FootnoteText"/>
        <w:rPr>
          <w:rFonts w:asciiTheme="minorHAnsi" w:hAnsiTheme="minorHAnsi" w:cstheme="minorHAnsi"/>
          <w:color w:val="000000" w:themeColor="text1"/>
        </w:rPr>
      </w:pPr>
      <w:r w:rsidRPr="00494783">
        <w:rPr>
          <w:rStyle w:val="FootnoteReference"/>
          <w:rFonts w:asciiTheme="minorHAnsi" w:hAnsiTheme="minorHAnsi" w:cstheme="minorHAnsi"/>
          <w:color w:val="000000" w:themeColor="text1"/>
        </w:rPr>
        <w:footnoteRef/>
      </w:r>
      <w:r w:rsidRPr="00494783">
        <w:rPr>
          <w:rFonts w:asciiTheme="minorHAnsi" w:hAnsiTheme="minorHAnsi" w:cstheme="minorHAnsi"/>
          <w:color w:val="000000" w:themeColor="text1"/>
        </w:rPr>
        <w:t xml:space="preserve"> </w:t>
      </w:r>
      <w:hyperlink r:id="rId18" w:history="1">
        <w:r w:rsidRPr="00494783">
          <w:rPr>
            <w:rFonts w:asciiTheme="minorHAnsi" w:hAnsiTheme="minorHAnsi" w:cstheme="minorHAnsi"/>
            <w:color w:val="000000" w:themeColor="text1"/>
            <w:u w:val="single"/>
          </w:rPr>
          <w:t>Gear change: a bold vision for cycling and walking (publishing.service.gov.uk)</w:t>
        </w:r>
      </w:hyperlink>
      <w:r>
        <w:rPr>
          <w:rFonts w:asciiTheme="minorHAnsi" w:hAnsiTheme="minorHAnsi" w:cstheme="minorHAnsi"/>
          <w:color w:val="000000" w:themeColor="text1"/>
        </w:rPr>
        <w:t xml:space="preserve"> page 21</w:t>
      </w:r>
    </w:p>
  </w:footnote>
  <w:footnote w:id="31">
    <w:p w:rsidR="00691C1F" w:rsidRPr="00494783" w:rsidRDefault="00691C1F">
      <w:pPr>
        <w:pStyle w:val="FootnoteText"/>
        <w:rPr>
          <w:rFonts w:asciiTheme="minorHAnsi" w:hAnsiTheme="minorHAnsi" w:cstheme="minorHAnsi"/>
          <w:color w:val="000000" w:themeColor="text1"/>
        </w:rPr>
      </w:pPr>
      <w:r w:rsidRPr="00494783">
        <w:rPr>
          <w:rStyle w:val="FootnoteReference"/>
          <w:rFonts w:asciiTheme="minorHAnsi" w:hAnsiTheme="minorHAnsi" w:cstheme="minorHAnsi"/>
          <w:color w:val="000000" w:themeColor="text1"/>
        </w:rPr>
        <w:footnoteRef/>
      </w:r>
      <w:r w:rsidRPr="00494783">
        <w:rPr>
          <w:rFonts w:asciiTheme="minorHAnsi" w:hAnsiTheme="minorHAnsi" w:cstheme="minorHAnsi"/>
          <w:color w:val="000000" w:themeColor="text1"/>
        </w:rPr>
        <w:t xml:space="preserve"> </w:t>
      </w:r>
      <w:hyperlink r:id="rId19" w:history="1">
        <w:r w:rsidRPr="00494783">
          <w:rPr>
            <w:rFonts w:asciiTheme="minorHAnsi" w:hAnsiTheme="minorHAnsi" w:cstheme="minorHAnsi"/>
            <w:color w:val="000000" w:themeColor="text1"/>
            <w:u w:val="single"/>
          </w:rPr>
          <w:t>RTPI | Net Zero Transport: the role of spatial planning and place-based solutions</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Pr="00E2508E" w:rsidRDefault="00691C1F" w:rsidP="001F447F">
    <w:pPr>
      <w:pStyle w:val="Header"/>
      <w:tabs>
        <w:tab w:val="clear" w:pos="9026"/>
      </w:tabs>
      <w:ind w:right="-330"/>
      <w:rPr>
        <w:rFonts w:asciiTheme="minorHAnsi" w:hAnsiTheme="minorHAnsi" w:cstheme="minorHAnsi"/>
        <w:b/>
        <w:sz w:val="28"/>
        <w:szCs w:val="2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Pr="006E2612" w:rsidRDefault="00691C1F" w:rsidP="006E2612">
    <w:pPr>
      <w:pStyle w:val="Header"/>
      <w:rPr>
        <w:rFonts w:asciiTheme="minorHAnsi" w:hAnsiTheme="minorHAnsi" w:cstheme="minorHAnsi"/>
        <w:b/>
        <w:sz w:val="32"/>
        <w:szCs w:val="32"/>
      </w:rPr>
    </w:pPr>
    <w:r w:rsidRPr="006E2612">
      <w:rPr>
        <w:rFonts w:asciiTheme="minorHAnsi" w:hAnsiTheme="minorHAnsi" w:cstheme="minorHAnsi"/>
        <w:b/>
        <w:sz w:val="32"/>
        <w:szCs w:val="32"/>
      </w:rPr>
      <w:t>Appendix 3 : Catalogue of Evidence Base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Pr="00955DFC" w:rsidRDefault="00691C1F" w:rsidP="00955DF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Default="00691C1F" w:rsidP="001F447F">
    <w:pPr>
      <w:pStyle w:val="Header"/>
      <w:tabs>
        <w:tab w:val="clear" w:pos="9026"/>
      </w:tabs>
      <w:ind w:right="-330"/>
      <w:rPr>
        <w:rFonts w:asciiTheme="minorHAnsi" w:hAnsiTheme="minorHAnsi" w:cstheme="minorHAnsi"/>
        <w:b/>
        <w:sz w:val="32"/>
        <w:szCs w:val="32"/>
      </w:rPr>
    </w:pPr>
    <w:r w:rsidRPr="00A95311">
      <w:rPr>
        <w:rFonts w:asciiTheme="minorHAnsi" w:hAnsiTheme="minorHAnsi" w:cstheme="minorHAnsi"/>
        <w:b/>
        <w:sz w:val="32"/>
        <w:szCs w:val="32"/>
      </w:rPr>
      <w:t>Appendix 1 : Consultation response to Draft Statement of Community Involvement</w:t>
    </w:r>
  </w:p>
  <w:p w:rsidR="00691C1F" w:rsidRPr="00A95311" w:rsidRDefault="00691C1F" w:rsidP="001F447F">
    <w:pPr>
      <w:pStyle w:val="Header"/>
      <w:tabs>
        <w:tab w:val="clear" w:pos="9026"/>
      </w:tabs>
      <w:ind w:right="-330"/>
      <w:rPr>
        <w:rFonts w:asciiTheme="minorHAnsi" w:hAnsiTheme="minorHAnsi" w:cstheme="minorHAnsi"/>
        <w:b/>
        <w:sz w:val="32"/>
        <w:szCs w:val="3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Pr="00955DFC" w:rsidRDefault="00691C1F" w:rsidP="00955DF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Pr="008F4A98" w:rsidRDefault="00691C1F" w:rsidP="0001370F">
    <w:pPr>
      <w:pStyle w:val="Heading1"/>
      <w:rPr>
        <w:sz w:val="24"/>
        <w:szCs w:val="24"/>
      </w:rPr>
    </w:pPr>
    <w:r>
      <w:rPr>
        <w:noProof/>
      </w:rPr>
      <w:drawing>
        <wp:anchor distT="0" distB="0" distL="114300" distR="114300" simplePos="0" relativeHeight="251683840" behindDoc="1" locked="0" layoutInCell="1" allowOverlap="1" wp14:anchorId="70E74684" wp14:editId="738919E8">
          <wp:simplePos x="0" y="0"/>
          <wp:positionH relativeFrom="page">
            <wp:posOffset>0</wp:posOffset>
          </wp:positionH>
          <wp:positionV relativeFrom="page">
            <wp:posOffset>-843915</wp:posOffset>
          </wp:positionV>
          <wp:extent cx="7556500" cy="10693400"/>
          <wp:effectExtent l="0" t="0" r="6350" b="0"/>
          <wp:wrapNone/>
          <wp:docPr id="23" name="Picture 23" descr="::::::::::COMMUNICATIONS PROJECTS 21.3.14:C426 - SC electronic LH Oct14:SC LHmasterAug11_On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UNICATIONS PROJECTS 21.3.14:C426 - SC electronic LH Oct14:SC LHmasterAug11_Online.png"/>
                  <pic:cNvPicPr>
                    <a:picLocks noChangeAspect="1" noChangeArrowheads="1"/>
                  </pic:cNvPicPr>
                </pic:nvPicPr>
                <pic:blipFill>
                  <a:blip r:embed="rId1"/>
                  <a:srcRect/>
                  <a:stretch>
                    <a:fillRect/>
                  </a:stretch>
                </pic:blipFill>
                <pic:spPr bwMode="auto">
                  <a:xfrm>
                    <a:off x="0" y="0"/>
                    <a:ext cx="7556500" cy="10693400"/>
                  </a:xfrm>
                  <a:prstGeom prst="rect">
                    <a:avLst/>
                  </a:prstGeom>
                  <a:noFill/>
                  <a:ln w="9525">
                    <a:noFill/>
                    <a:miter lim="800000"/>
                    <a:headEnd/>
                    <a:tailEnd/>
                  </a:ln>
                </pic:spPr>
              </pic:pic>
            </a:graphicData>
          </a:graphic>
        </wp:anchor>
      </w:drawing>
    </w:r>
    <w:sdt>
      <w:sdtPr>
        <w:id w:val="2037615907"/>
        <w:docPartObj>
          <w:docPartGallery w:val="Watermarks"/>
          <w:docPartUnique/>
        </w:docPartObj>
      </w:sdtPr>
      <w:sdtContent>
        <w:r>
          <w:rPr>
            <w:noProof/>
            <w:lang w:val="en-US"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47F">
      <w:rPr>
        <w:rFonts w:asciiTheme="minorHAnsi" w:hAnsiTheme="minorHAnsi" w:cstheme="minorHAnsi"/>
        <w:sz w:val="32"/>
        <w:szCs w:val="32"/>
      </w:rPr>
      <w:t>Annex to Appendix 1</w:t>
    </w:r>
  </w:p>
  <w:p w:rsidR="00691C1F" w:rsidRDefault="00691C1F">
    <w:pPr>
      <w:pStyle w:val="Header"/>
      <w:rPr>
        <w:rFonts w:asciiTheme="minorHAnsi" w:hAnsiTheme="minorHAnsi" w:cstheme="minorHAnsi"/>
        <w:sz w:val="28"/>
        <w:szCs w:val="28"/>
      </w:rPr>
    </w:pPr>
    <w:r>
      <w:rPr>
        <w:rFonts w:asciiTheme="minorHAnsi" w:hAnsiTheme="minorHAnsi" w:cstheme="minorHAnsi"/>
        <w:sz w:val="28"/>
        <w:szCs w:val="28"/>
      </w:rPr>
      <w:t>T</w:t>
    </w:r>
    <w:r w:rsidRPr="008F4A98">
      <w:rPr>
        <w:rFonts w:asciiTheme="minorHAnsi" w:hAnsiTheme="minorHAnsi" w:cstheme="minorHAnsi"/>
        <w:sz w:val="28"/>
        <w:szCs w:val="28"/>
      </w:rPr>
      <w:t>ext of Shropshire Council poster circulated to Town and Parish Councils via SALC network on 20 January 2021</w:t>
    </w:r>
  </w:p>
  <w:p w:rsidR="00691C1F" w:rsidRPr="008F4A98" w:rsidRDefault="00691C1F">
    <w:pPr>
      <w:pStyle w:val="Header"/>
      <w:rPr>
        <w:rFonts w:asciiTheme="minorHAnsi" w:hAnsiTheme="minorHAnsi" w:cstheme="minorHAnsi"/>
        <w:sz w:val="28"/>
        <w:szCs w:val="2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Default="00691C1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Pr="0098109E" w:rsidRDefault="00691C1F" w:rsidP="005429C8">
    <w:pPr>
      <w:pStyle w:val="Header"/>
      <w:jc w:val="right"/>
      <w:rPr>
        <w:rFonts w:ascii="Trebuchet MS" w:hAnsi="Trebuchet MS"/>
        <w:sz w:val="28"/>
        <w:szCs w:val="2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Default="00691C1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C1F" w:rsidRPr="00B13304" w:rsidRDefault="00691C1F" w:rsidP="00B96F72">
    <w:pPr>
      <w:pStyle w:val="Heading1"/>
      <w:rPr>
        <w:rFonts w:asciiTheme="minorHAnsi" w:hAnsiTheme="minorHAnsi" w:cstheme="minorHAnsi"/>
        <w:sz w:val="32"/>
        <w:szCs w:val="32"/>
      </w:rPr>
    </w:pPr>
    <w:r w:rsidRPr="00B13304">
      <w:rPr>
        <w:rFonts w:asciiTheme="minorHAnsi" w:hAnsiTheme="minorHAnsi" w:cstheme="minorHAnsi"/>
        <w:sz w:val="32"/>
        <w:szCs w:val="32"/>
      </w:rPr>
      <w:t>Appendix 2 : Consultation Response Analyses</w:t>
    </w:r>
  </w:p>
  <w:p w:rsidR="00691C1F" w:rsidRPr="00B96F72" w:rsidRDefault="00691C1F" w:rsidP="005429C8">
    <w:pPr>
      <w:pStyle w:val="Header"/>
      <w:jc w:val="right"/>
      <w:rPr>
        <w:rFonts w:asciiTheme="minorHAnsi" w:hAnsiTheme="minorHAnsi" w:cstheme="minorHAns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E00287E3"/>
    <w:multiLevelType w:val="hybridMultilevel"/>
    <w:tmpl w:val="A80D931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93448A"/>
    <w:multiLevelType w:val="hybridMultilevel"/>
    <w:tmpl w:val="874C0630"/>
    <w:lvl w:ilvl="0" w:tplc="AABC7F8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E7029E"/>
    <w:multiLevelType w:val="hybridMultilevel"/>
    <w:tmpl w:val="7668F62E"/>
    <w:lvl w:ilvl="0" w:tplc="363E4DC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4628D0"/>
    <w:multiLevelType w:val="hybridMultilevel"/>
    <w:tmpl w:val="E182E53E"/>
    <w:lvl w:ilvl="0" w:tplc="D5E8B0D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3B068E9"/>
    <w:multiLevelType w:val="hybridMultilevel"/>
    <w:tmpl w:val="F2765A3C"/>
    <w:lvl w:ilvl="0" w:tplc="7AF21F5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455093"/>
    <w:multiLevelType w:val="hybridMultilevel"/>
    <w:tmpl w:val="6BEEF876"/>
    <w:lvl w:ilvl="0" w:tplc="E15AF0D2">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15:restartNumberingAfterBreak="0">
    <w:nsid w:val="203B1CE9"/>
    <w:multiLevelType w:val="hybridMultilevel"/>
    <w:tmpl w:val="ADD66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D94CE4"/>
    <w:multiLevelType w:val="hybridMultilevel"/>
    <w:tmpl w:val="D7546694"/>
    <w:lvl w:ilvl="0" w:tplc="77DC976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1C1C42"/>
    <w:multiLevelType w:val="multilevel"/>
    <w:tmpl w:val="A498EEA8"/>
    <w:styleLink w:val="LFO4"/>
    <w:lvl w:ilvl="0">
      <w:start w:val="1"/>
      <w:numFmt w:val="decimal"/>
      <w:pStyle w:val="Nnumber"/>
      <w:lvlText w:val="%1."/>
      <w:lvlJc w:val="left"/>
      <w:pPr>
        <w:ind w:left="425" w:hanging="425"/>
      </w:pPr>
    </w:lvl>
    <w:lvl w:ilvl="1">
      <w:start w:val="1"/>
      <w:numFmt w:val="lowerLetter"/>
      <w:lvlText w:val="(%2)"/>
      <w:lvlJc w:val="right"/>
      <w:pPr>
        <w:ind w:left="851" w:hanging="142"/>
      </w:pPr>
    </w:lvl>
    <w:lvl w:ilvl="2">
      <w:start w:val="1"/>
      <w:numFmt w:val="lowerRoman"/>
      <w:lvlText w:val="(%3)"/>
      <w:lvlJc w:val="right"/>
      <w:pPr>
        <w:ind w:left="1134" w:hanging="113"/>
      </w:pPr>
    </w:lvl>
    <w:lvl w:ilvl="3">
      <w:start w:val="1"/>
      <w:numFmt w:val="lowerRoman"/>
      <w:lvlText w:val="%4"/>
      <w:lvlJc w:val="right"/>
      <w:pPr>
        <w:ind w:left="1361" w:hanging="114"/>
      </w:pPr>
      <w:rPr>
        <w:rFonts w:ascii="Lucida Sans Unicode" w:hAnsi="Lucida Sans Unicode"/>
        <w:b w:val="0"/>
        <w:i w:val="0"/>
        <w:sz w:val="16"/>
      </w:rPr>
    </w:lvl>
    <w:lvl w:ilvl="4">
      <w:start w:val="1"/>
      <w:numFmt w:val="none"/>
      <w:lvlText w:val="%5"/>
      <w:lvlJc w:val="left"/>
      <w:pPr>
        <w:ind w:left="1800" w:hanging="360"/>
      </w:pPr>
    </w:lvl>
    <w:lvl w:ilvl="5">
      <w:start w:val="1"/>
      <w:numFmt w:val="none"/>
      <w:lvlText w:val="%6"/>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9" w15:restartNumberingAfterBreak="0">
    <w:nsid w:val="3100117B"/>
    <w:multiLevelType w:val="hybridMultilevel"/>
    <w:tmpl w:val="F6AA70C6"/>
    <w:lvl w:ilvl="0" w:tplc="D1403630">
      <w:start w:val="1"/>
      <w:numFmt w:val="lowerRoman"/>
      <w:lvlText w:val="%1)"/>
      <w:lvlJc w:val="left"/>
      <w:pPr>
        <w:ind w:left="720" w:hanging="360"/>
      </w:pPr>
      <w:rPr>
        <w:rFonts w:asciiTheme="minorHAnsi" w:eastAsiaTheme="minorHAnsi" w:hAnsiTheme="minorHAnsi" w:cstheme="minorHAns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704FE4"/>
    <w:multiLevelType w:val="hybridMultilevel"/>
    <w:tmpl w:val="11E4BAEA"/>
    <w:lvl w:ilvl="0" w:tplc="3E1ADB3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2D667E3"/>
    <w:multiLevelType w:val="hybridMultilevel"/>
    <w:tmpl w:val="6EE2662E"/>
    <w:lvl w:ilvl="0" w:tplc="422CF92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37545AD8"/>
    <w:multiLevelType w:val="hybridMultilevel"/>
    <w:tmpl w:val="BD56131E"/>
    <w:lvl w:ilvl="0" w:tplc="ED520980">
      <w:start w:val="1"/>
      <w:numFmt w:val="lowerRoman"/>
      <w:lvlText w:val="%1)"/>
      <w:lvlJc w:val="left"/>
      <w:pPr>
        <w:ind w:left="733" w:hanging="215"/>
      </w:pPr>
      <w:rPr>
        <w:rFonts w:asciiTheme="minorHAnsi" w:eastAsia="Arial" w:hAnsiTheme="minorHAnsi" w:cstheme="minorHAnsi" w:hint="default"/>
        <w:color w:val="000000" w:themeColor="text1"/>
        <w:spacing w:val="-1"/>
        <w:w w:val="109"/>
        <w:sz w:val="24"/>
        <w:szCs w:val="24"/>
      </w:rPr>
    </w:lvl>
    <w:lvl w:ilvl="1" w:tplc="D076FB1A">
      <w:numFmt w:val="bullet"/>
      <w:lvlText w:val="•"/>
      <w:lvlJc w:val="left"/>
      <w:pPr>
        <w:ind w:left="1710" w:hanging="215"/>
      </w:pPr>
      <w:rPr>
        <w:rFonts w:hint="default"/>
      </w:rPr>
    </w:lvl>
    <w:lvl w:ilvl="2" w:tplc="BCB27638">
      <w:numFmt w:val="bullet"/>
      <w:lvlText w:val="•"/>
      <w:lvlJc w:val="left"/>
      <w:pPr>
        <w:ind w:left="2680" w:hanging="215"/>
      </w:pPr>
      <w:rPr>
        <w:rFonts w:hint="default"/>
      </w:rPr>
    </w:lvl>
    <w:lvl w:ilvl="3" w:tplc="A7808A6E">
      <w:numFmt w:val="bullet"/>
      <w:lvlText w:val="•"/>
      <w:lvlJc w:val="left"/>
      <w:pPr>
        <w:ind w:left="3650" w:hanging="215"/>
      </w:pPr>
      <w:rPr>
        <w:rFonts w:hint="default"/>
      </w:rPr>
    </w:lvl>
    <w:lvl w:ilvl="4" w:tplc="11D0D1D0">
      <w:numFmt w:val="bullet"/>
      <w:lvlText w:val="•"/>
      <w:lvlJc w:val="left"/>
      <w:pPr>
        <w:ind w:left="4620" w:hanging="215"/>
      </w:pPr>
      <w:rPr>
        <w:rFonts w:hint="default"/>
      </w:rPr>
    </w:lvl>
    <w:lvl w:ilvl="5" w:tplc="AB82244A">
      <w:numFmt w:val="bullet"/>
      <w:lvlText w:val="•"/>
      <w:lvlJc w:val="left"/>
      <w:pPr>
        <w:ind w:left="5590" w:hanging="215"/>
      </w:pPr>
      <w:rPr>
        <w:rFonts w:hint="default"/>
      </w:rPr>
    </w:lvl>
    <w:lvl w:ilvl="6" w:tplc="B6F463E0">
      <w:numFmt w:val="bullet"/>
      <w:lvlText w:val="•"/>
      <w:lvlJc w:val="left"/>
      <w:pPr>
        <w:ind w:left="6560" w:hanging="215"/>
      </w:pPr>
      <w:rPr>
        <w:rFonts w:hint="default"/>
      </w:rPr>
    </w:lvl>
    <w:lvl w:ilvl="7" w:tplc="F9F6E0E8">
      <w:numFmt w:val="bullet"/>
      <w:lvlText w:val="•"/>
      <w:lvlJc w:val="left"/>
      <w:pPr>
        <w:ind w:left="7530" w:hanging="215"/>
      </w:pPr>
      <w:rPr>
        <w:rFonts w:hint="default"/>
      </w:rPr>
    </w:lvl>
    <w:lvl w:ilvl="8" w:tplc="CEFC40A8">
      <w:numFmt w:val="bullet"/>
      <w:lvlText w:val="•"/>
      <w:lvlJc w:val="left"/>
      <w:pPr>
        <w:ind w:left="8500" w:hanging="215"/>
      </w:pPr>
      <w:rPr>
        <w:rFonts w:hint="default"/>
      </w:rPr>
    </w:lvl>
  </w:abstractNum>
  <w:abstractNum w:abstractNumId="13" w15:restartNumberingAfterBreak="0">
    <w:nsid w:val="3B8E74EF"/>
    <w:multiLevelType w:val="hybridMultilevel"/>
    <w:tmpl w:val="E654A05A"/>
    <w:lvl w:ilvl="0" w:tplc="2B560604">
      <w:start w:val="1"/>
      <w:numFmt w:val="lowerRoman"/>
      <w:lvlText w:val="%1)"/>
      <w:lvlJc w:val="left"/>
      <w:pPr>
        <w:ind w:left="1440" w:hanging="720"/>
      </w:pPr>
      <w:rPr>
        <w:rFonts w:hint="default"/>
        <w:color w:val="000000" w:themeColor="text1"/>
        <w:w w:val="105"/>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5413112C"/>
    <w:multiLevelType w:val="hybridMultilevel"/>
    <w:tmpl w:val="874C0630"/>
    <w:lvl w:ilvl="0" w:tplc="AABC7F8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7577E04"/>
    <w:multiLevelType w:val="hybridMultilevel"/>
    <w:tmpl w:val="2D601454"/>
    <w:lvl w:ilvl="0" w:tplc="3BE2CB2A">
      <w:start w:val="1"/>
      <w:numFmt w:val="lowerRoman"/>
      <w:lvlText w:val="%1)"/>
      <w:lvlJc w:val="left"/>
      <w:pPr>
        <w:ind w:left="720" w:hanging="360"/>
      </w:pPr>
      <w:rPr>
        <w:rFonts w:asciiTheme="minorHAnsi" w:eastAsiaTheme="minorHAnsi" w:hAnsiTheme="minorHAnsi" w:cstheme="minorHAns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8946226"/>
    <w:multiLevelType w:val="hybridMultilevel"/>
    <w:tmpl w:val="81029A66"/>
    <w:lvl w:ilvl="0" w:tplc="B694F606">
      <w:start w:val="1"/>
      <w:numFmt w:val="lowerRoman"/>
      <w:lvlText w:val="%1)"/>
      <w:lvlJc w:val="left"/>
      <w:pPr>
        <w:ind w:left="739" w:hanging="251"/>
      </w:pPr>
      <w:rPr>
        <w:rFonts w:asciiTheme="minorHAnsi" w:eastAsia="Times New Roman" w:hAnsiTheme="minorHAnsi" w:cstheme="minorHAnsi" w:hint="default"/>
        <w:color w:val="auto"/>
        <w:w w:val="103"/>
        <w:sz w:val="24"/>
        <w:szCs w:val="24"/>
      </w:rPr>
    </w:lvl>
    <w:lvl w:ilvl="1" w:tplc="F2821644">
      <w:numFmt w:val="bullet"/>
      <w:lvlText w:val="•"/>
      <w:lvlJc w:val="left"/>
      <w:pPr>
        <w:ind w:left="1710" w:hanging="251"/>
      </w:pPr>
      <w:rPr>
        <w:rFonts w:hint="default"/>
      </w:rPr>
    </w:lvl>
    <w:lvl w:ilvl="2" w:tplc="9D5C3E86">
      <w:numFmt w:val="bullet"/>
      <w:lvlText w:val="•"/>
      <w:lvlJc w:val="left"/>
      <w:pPr>
        <w:ind w:left="2680" w:hanging="251"/>
      </w:pPr>
      <w:rPr>
        <w:rFonts w:hint="default"/>
      </w:rPr>
    </w:lvl>
    <w:lvl w:ilvl="3" w:tplc="F0D60C72">
      <w:numFmt w:val="bullet"/>
      <w:lvlText w:val="•"/>
      <w:lvlJc w:val="left"/>
      <w:pPr>
        <w:ind w:left="3650" w:hanging="251"/>
      </w:pPr>
      <w:rPr>
        <w:rFonts w:hint="default"/>
      </w:rPr>
    </w:lvl>
    <w:lvl w:ilvl="4" w:tplc="E1E8056E">
      <w:numFmt w:val="bullet"/>
      <w:lvlText w:val="•"/>
      <w:lvlJc w:val="left"/>
      <w:pPr>
        <w:ind w:left="4620" w:hanging="251"/>
      </w:pPr>
      <w:rPr>
        <w:rFonts w:hint="default"/>
      </w:rPr>
    </w:lvl>
    <w:lvl w:ilvl="5" w:tplc="BDFC0038">
      <w:numFmt w:val="bullet"/>
      <w:lvlText w:val="•"/>
      <w:lvlJc w:val="left"/>
      <w:pPr>
        <w:ind w:left="5590" w:hanging="251"/>
      </w:pPr>
      <w:rPr>
        <w:rFonts w:hint="default"/>
      </w:rPr>
    </w:lvl>
    <w:lvl w:ilvl="6" w:tplc="C4BAC6C2">
      <w:numFmt w:val="bullet"/>
      <w:lvlText w:val="•"/>
      <w:lvlJc w:val="left"/>
      <w:pPr>
        <w:ind w:left="6560" w:hanging="251"/>
      </w:pPr>
      <w:rPr>
        <w:rFonts w:hint="default"/>
      </w:rPr>
    </w:lvl>
    <w:lvl w:ilvl="7" w:tplc="B058A43A">
      <w:numFmt w:val="bullet"/>
      <w:lvlText w:val="•"/>
      <w:lvlJc w:val="left"/>
      <w:pPr>
        <w:ind w:left="7530" w:hanging="251"/>
      </w:pPr>
      <w:rPr>
        <w:rFonts w:hint="default"/>
      </w:rPr>
    </w:lvl>
    <w:lvl w:ilvl="8" w:tplc="D0D4043C">
      <w:numFmt w:val="bullet"/>
      <w:lvlText w:val="•"/>
      <w:lvlJc w:val="left"/>
      <w:pPr>
        <w:ind w:left="8500" w:hanging="251"/>
      </w:pPr>
      <w:rPr>
        <w:rFonts w:hint="default"/>
      </w:rPr>
    </w:lvl>
  </w:abstractNum>
  <w:abstractNum w:abstractNumId="17" w15:restartNumberingAfterBreak="0">
    <w:nsid w:val="5AC5024D"/>
    <w:multiLevelType w:val="multilevel"/>
    <w:tmpl w:val="FACAC744"/>
    <w:lvl w:ilvl="0">
      <w:start w:val="1"/>
      <w:numFmt w:val="decimal"/>
      <w:lvlText w:val="%1."/>
      <w:lvlJc w:val="left"/>
      <w:pPr>
        <w:ind w:left="420" w:hanging="420"/>
      </w:pPr>
      <w:rPr>
        <w:rFonts w:hint="default"/>
      </w:rPr>
    </w:lvl>
    <w:lvl w:ilvl="1">
      <w:start w:val="1"/>
      <w:numFmt w:val="decimal"/>
      <w:lvlText w:val="%2"/>
      <w:lvlJc w:val="left"/>
      <w:pPr>
        <w:ind w:left="720" w:hanging="720"/>
      </w:pPr>
      <w:rPr>
        <w:rFonts w:asciiTheme="minorHAnsi" w:eastAsiaTheme="minorHAnsi" w:hAnsiTheme="minorHAnsi" w:cstheme="minorHAnsi" w:hint="default"/>
        <w:b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5E430767"/>
    <w:multiLevelType w:val="multilevel"/>
    <w:tmpl w:val="0B0AE610"/>
    <w:lvl w:ilvl="0">
      <w:start w:val="1"/>
      <w:numFmt w:val="decimal"/>
      <w:lvlText w:val="%1."/>
      <w:lvlJc w:val="left"/>
      <w:pPr>
        <w:ind w:left="720" w:hanging="360"/>
      </w:pPr>
      <w:rPr>
        <w:b/>
        <w:sz w:val="36"/>
        <w:szCs w:val="36"/>
      </w:rPr>
    </w:lvl>
    <w:lvl w:ilvl="1">
      <w:start w:val="1"/>
      <w:numFmt w:val="decimal"/>
      <w:isLgl/>
      <w:lvlText w:val="%1.%2"/>
      <w:lvlJc w:val="left"/>
      <w:pPr>
        <w:ind w:left="720" w:hanging="360"/>
      </w:pPr>
      <w:rPr>
        <w:rFonts w:asciiTheme="minorHAnsi" w:hAnsiTheme="minorHAnsi" w:cstheme="minorHAnsi" w:hint="default"/>
        <w:b w:val="0"/>
        <w:i w:val="0"/>
        <w:color w:val="000000" w:themeColor="text1"/>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60D04C22"/>
    <w:multiLevelType w:val="hybridMultilevel"/>
    <w:tmpl w:val="7398E8C6"/>
    <w:lvl w:ilvl="0" w:tplc="EA66089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6F630E0"/>
    <w:multiLevelType w:val="hybridMultilevel"/>
    <w:tmpl w:val="72328AFA"/>
    <w:lvl w:ilvl="0" w:tplc="02D61068">
      <w:start w:val="1"/>
      <w:numFmt w:val="lowerRoman"/>
      <w:lvlText w:val="%1)"/>
      <w:lvlJc w:val="left"/>
      <w:pPr>
        <w:ind w:left="144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7B4356F"/>
    <w:multiLevelType w:val="hybridMultilevel"/>
    <w:tmpl w:val="391679FC"/>
    <w:lvl w:ilvl="0" w:tplc="CAFEFDE0">
      <w:start w:val="1"/>
      <w:numFmt w:val="lowerRoman"/>
      <w:lvlText w:val="%1)"/>
      <w:lvlJc w:val="left"/>
      <w:pPr>
        <w:ind w:left="1080" w:hanging="720"/>
      </w:pPr>
      <w:rPr>
        <w:rFonts w:asciiTheme="minorHAnsi" w:hAnsiTheme="minorHAnsi" w:cstheme="minorHAnsi" w:hint="default"/>
        <w:color w:val="auto"/>
        <w:w w:val="1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B944FA0"/>
    <w:multiLevelType w:val="hybridMultilevel"/>
    <w:tmpl w:val="E800FF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DE39FB"/>
    <w:multiLevelType w:val="hybridMultilevel"/>
    <w:tmpl w:val="3190BF8A"/>
    <w:lvl w:ilvl="0" w:tplc="AABC7F8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243F300"/>
    <w:multiLevelType w:val="hybridMultilevel"/>
    <w:tmpl w:val="1D3CFEE3"/>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73C51D5F"/>
    <w:multiLevelType w:val="hybridMultilevel"/>
    <w:tmpl w:val="9180495A"/>
    <w:lvl w:ilvl="0" w:tplc="5F12C80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8"/>
  </w:num>
  <w:num w:numId="2">
    <w:abstractNumId w:val="17"/>
  </w:num>
  <w:num w:numId="3">
    <w:abstractNumId w:val="22"/>
  </w:num>
  <w:num w:numId="4">
    <w:abstractNumId w:val="6"/>
  </w:num>
  <w:num w:numId="5">
    <w:abstractNumId w:val="10"/>
  </w:num>
  <w:num w:numId="6">
    <w:abstractNumId w:val="3"/>
  </w:num>
  <w:num w:numId="7">
    <w:abstractNumId w:val="4"/>
  </w:num>
  <w:num w:numId="8">
    <w:abstractNumId w:val="2"/>
  </w:num>
  <w:num w:numId="9">
    <w:abstractNumId w:val="9"/>
  </w:num>
  <w:num w:numId="10">
    <w:abstractNumId w:val="7"/>
  </w:num>
  <w:num w:numId="11">
    <w:abstractNumId w:val="11"/>
  </w:num>
  <w:num w:numId="12">
    <w:abstractNumId w:val="19"/>
  </w:num>
  <w:num w:numId="13">
    <w:abstractNumId w:val="16"/>
  </w:num>
  <w:num w:numId="14">
    <w:abstractNumId w:val="21"/>
  </w:num>
  <w:num w:numId="15">
    <w:abstractNumId w:val="12"/>
  </w:num>
  <w:num w:numId="16">
    <w:abstractNumId w:val="8"/>
  </w:num>
  <w:num w:numId="17">
    <w:abstractNumId w:val="13"/>
  </w:num>
  <w:num w:numId="18">
    <w:abstractNumId w:val="14"/>
  </w:num>
  <w:num w:numId="19">
    <w:abstractNumId w:val="5"/>
  </w:num>
  <w:num w:numId="20">
    <w:abstractNumId w:val="1"/>
  </w:num>
  <w:num w:numId="21">
    <w:abstractNumId w:val="23"/>
  </w:num>
  <w:num w:numId="22">
    <w:abstractNumId w:val="20"/>
  </w:num>
  <w:num w:numId="23">
    <w:abstractNumId w:val="15"/>
  </w:num>
  <w:num w:numId="24">
    <w:abstractNumId w:val="25"/>
  </w:num>
  <w:num w:numId="25">
    <w:abstractNumId w:val="0"/>
  </w:num>
  <w:num w:numId="26">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oNotTrackMoves/>
  <w:defaultTabStop w:val="720"/>
  <w:drawingGridHorizontalSpacing w:val="12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D3044A"/>
    <w:rsid w:val="00000153"/>
    <w:rsid w:val="000025F2"/>
    <w:rsid w:val="00006036"/>
    <w:rsid w:val="000068AF"/>
    <w:rsid w:val="0000789B"/>
    <w:rsid w:val="00010B0A"/>
    <w:rsid w:val="0001367A"/>
    <w:rsid w:val="0001370F"/>
    <w:rsid w:val="00013CF0"/>
    <w:rsid w:val="000142F8"/>
    <w:rsid w:val="00014DA3"/>
    <w:rsid w:val="00016531"/>
    <w:rsid w:val="00017E7C"/>
    <w:rsid w:val="0002017D"/>
    <w:rsid w:val="0002133A"/>
    <w:rsid w:val="00022228"/>
    <w:rsid w:val="00022524"/>
    <w:rsid w:val="0002475E"/>
    <w:rsid w:val="0002563A"/>
    <w:rsid w:val="00032261"/>
    <w:rsid w:val="0003275C"/>
    <w:rsid w:val="00032860"/>
    <w:rsid w:val="00036111"/>
    <w:rsid w:val="00037E17"/>
    <w:rsid w:val="00041C79"/>
    <w:rsid w:val="00044740"/>
    <w:rsid w:val="00045014"/>
    <w:rsid w:val="00045C65"/>
    <w:rsid w:val="0004609B"/>
    <w:rsid w:val="000512D9"/>
    <w:rsid w:val="000514B5"/>
    <w:rsid w:val="00051CD8"/>
    <w:rsid w:val="00051D07"/>
    <w:rsid w:val="000520CE"/>
    <w:rsid w:val="000541AD"/>
    <w:rsid w:val="000545BE"/>
    <w:rsid w:val="00054A0C"/>
    <w:rsid w:val="000561D0"/>
    <w:rsid w:val="00056785"/>
    <w:rsid w:val="00056E98"/>
    <w:rsid w:val="000572E2"/>
    <w:rsid w:val="00057C02"/>
    <w:rsid w:val="00057CDA"/>
    <w:rsid w:val="000610D1"/>
    <w:rsid w:val="00061722"/>
    <w:rsid w:val="00061DC9"/>
    <w:rsid w:val="00062616"/>
    <w:rsid w:val="00062A2E"/>
    <w:rsid w:val="000631C9"/>
    <w:rsid w:val="00067B5C"/>
    <w:rsid w:val="000700C9"/>
    <w:rsid w:val="00070C67"/>
    <w:rsid w:val="00071085"/>
    <w:rsid w:val="00071650"/>
    <w:rsid w:val="00072AD5"/>
    <w:rsid w:val="000733C7"/>
    <w:rsid w:val="0007377D"/>
    <w:rsid w:val="000754A0"/>
    <w:rsid w:val="00075855"/>
    <w:rsid w:val="00075A96"/>
    <w:rsid w:val="00075F14"/>
    <w:rsid w:val="0007688C"/>
    <w:rsid w:val="0008038B"/>
    <w:rsid w:val="00081633"/>
    <w:rsid w:val="00081F19"/>
    <w:rsid w:val="00082D9D"/>
    <w:rsid w:val="000837D0"/>
    <w:rsid w:val="000839BD"/>
    <w:rsid w:val="000842FB"/>
    <w:rsid w:val="00084C25"/>
    <w:rsid w:val="00084DEA"/>
    <w:rsid w:val="00084F3D"/>
    <w:rsid w:val="00085876"/>
    <w:rsid w:val="00085FD5"/>
    <w:rsid w:val="000877DF"/>
    <w:rsid w:val="00087AEB"/>
    <w:rsid w:val="00087B54"/>
    <w:rsid w:val="00090C75"/>
    <w:rsid w:val="00091D1F"/>
    <w:rsid w:val="0009245E"/>
    <w:rsid w:val="00092EAF"/>
    <w:rsid w:val="000934EE"/>
    <w:rsid w:val="00094613"/>
    <w:rsid w:val="00095D83"/>
    <w:rsid w:val="00097622"/>
    <w:rsid w:val="00097DAD"/>
    <w:rsid w:val="00097DCB"/>
    <w:rsid w:val="000A0095"/>
    <w:rsid w:val="000A48A1"/>
    <w:rsid w:val="000A49CF"/>
    <w:rsid w:val="000A5458"/>
    <w:rsid w:val="000A7796"/>
    <w:rsid w:val="000B0094"/>
    <w:rsid w:val="000B2EF5"/>
    <w:rsid w:val="000B38E2"/>
    <w:rsid w:val="000B3ED7"/>
    <w:rsid w:val="000B4DE5"/>
    <w:rsid w:val="000B64AF"/>
    <w:rsid w:val="000B6F31"/>
    <w:rsid w:val="000C02B7"/>
    <w:rsid w:val="000C0591"/>
    <w:rsid w:val="000C13B0"/>
    <w:rsid w:val="000C1A83"/>
    <w:rsid w:val="000C40F4"/>
    <w:rsid w:val="000C49C0"/>
    <w:rsid w:val="000C503F"/>
    <w:rsid w:val="000C5475"/>
    <w:rsid w:val="000D1060"/>
    <w:rsid w:val="000D6B0E"/>
    <w:rsid w:val="000D6D9E"/>
    <w:rsid w:val="000D7104"/>
    <w:rsid w:val="000D77A5"/>
    <w:rsid w:val="000D7B2D"/>
    <w:rsid w:val="000E0E87"/>
    <w:rsid w:val="000E126C"/>
    <w:rsid w:val="000E209B"/>
    <w:rsid w:val="000E209F"/>
    <w:rsid w:val="000F0E38"/>
    <w:rsid w:val="000F21F6"/>
    <w:rsid w:val="000F28AC"/>
    <w:rsid w:val="000F3453"/>
    <w:rsid w:val="000F41AE"/>
    <w:rsid w:val="000F5E32"/>
    <w:rsid w:val="000F7FCD"/>
    <w:rsid w:val="00100001"/>
    <w:rsid w:val="00100BAE"/>
    <w:rsid w:val="00101860"/>
    <w:rsid w:val="00101DEE"/>
    <w:rsid w:val="00101EDB"/>
    <w:rsid w:val="00105060"/>
    <w:rsid w:val="00105DA5"/>
    <w:rsid w:val="00107E4B"/>
    <w:rsid w:val="001104A5"/>
    <w:rsid w:val="0011157B"/>
    <w:rsid w:val="00112150"/>
    <w:rsid w:val="00112565"/>
    <w:rsid w:val="001128D2"/>
    <w:rsid w:val="00112A5B"/>
    <w:rsid w:val="00112B80"/>
    <w:rsid w:val="00113646"/>
    <w:rsid w:val="00114D1D"/>
    <w:rsid w:val="00121195"/>
    <w:rsid w:val="001211D2"/>
    <w:rsid w:val="00121276"/>
    <w:rsid w:val="00121318"/>
    <w:rsid w:val="00122C72"/>
    <w:rsid w:val="00124E67"/>
    <w:rsid w:val="001251D0"/>
    <w:rsid w:val="00126199"/>
    <w:rsid w:val="00126723"/>
    <w:rsid w:val="0012690F"/>
    <w:rsid w:val="0012782A"/>
    <w:rsid w:val="00127C39"/>
    <w:rsid w:val="00127F76"/>
    <w:rsid w:val="001302C0"/>
    <w:rsid w:val="00130F31"/>
    <w:rsid w:val="00131BE1"/>
    <w:rsid w:val="00134A0C"/>
    <w:rsid w:val="001350C5"/>
    <w:rsid w:val="00135705"/>
    <w:rsid w:val="0013673D"/>
    <w:rsid w:val="0013691A"/>
    <w:rsid w:val="00137AB8"/>
    <w:rsid w:val="00137BE7"/>
    <w:rsid w:val="00137D3F"/>
    <w:rsid w:val="00137E10"/>
    <w:rsid w:val="00140480"/>
    <w:rsid w:val="0014142A"/>
    <w:rsid w:val="00141EA1"/>
    <w:rsid w:val="00141FF3"/>
    <w:rsid w:val="00142026"/>
    <w:rsid w:val="0014290A"/>
    <w:rsid w:val="001431EF"/>
    <w:rsid w:val="001432E5"/>
    <w:rsid w:val="00143EE1"/>
    <w:rsid w:val="001447C5"/>
    <w:rsid w:val="00144AAA"/>
    <w:rsid w:val="00145CDA"/>
    <w:rsid w:val="00145CEB"/>
    <w:rsid w:val="00146D9A"/>
    <w:rsid w:val="00151FF2"/>
    <w:rsid w:val="001521B9"/>
    <w:rsid w:val="0015253D"/>
    <w:rsid w:val="00152E4F"/>
    <w:rsid w:val="00153832"/>
    <w:rsid w:val="001539E1"/>
    <w:rsid w:val="0016071E"/>
    <w:rsid w:val="001607FA"/>
    <w:rsid w:val="00160B67"/>
    <w:rsid w:val="001634E4"/>
    <w:rsid w:val="001657F5"/>
    <w:rsid w:val="00166CB9"/>
    <w:rsid w:val="0017033D"/>
    <w:rsid w:val="00170A9D"/>
    <w:rsid w:val="001713E0"/>
    <w:rsid w:val="00172E74"/>
    <w:rsid w:val="00173014"/>
    <w:rsid w:val="001731D1"/>
    <w:rsid w:val="001737D3"/>
    <w:rsid w:val="0017388D"/>
    <w:rsid w:val="00174C11"/>
    <w:rsid w:val="00175236"/>
    <w:rsid w:val="00176D7C"/>
    <w:rsid w:val="00182703"/>
    <w:rsid w:val="00182BC2"/>
    <w:rsid w:val="00182F7B"/>
    <w:rsid w:val="00182FBA"/>
    <w:rsid w:val="00184B2A"/>
    <w:rsid w:val="00185258"/>
    <w:rsid w:val="00185702"/>
    <w:rsid w:val="00185A5B"/>
    <w:rsid w:val="00186A3A"/>
    <w:rsid w:val="00186F58"/>
    <w:rsid w:val="00190E11"/>
    <w:rsid w:val="00191BDB"/>
    <w:rsid w:val="00191E5E"/>
    <w:rsid w:val="00192975"/>
    <w:rsid w:val="0019310A"/>
    <w:rsid w:val="0019339F"/>
    <w:rsid w:val="00193DF4"/>
    <w:rsid w:val="00194A35"/>
    <w:rsid w:val="00194CB9"/>
    <w:rsid w:val="00195025"/>
    <w:rsid w:val="001955DB"/>
    <w:rsid w:val="0019635C"/>
    <w:rsid w:val="00196CAD"/>
    <w:rsid w:val="001A1653"/>
    <w:rsid w:val="001A1C08"/>
    <w:rsid w:val="001A24A1"/>
    <w:rsid w:val="001A2CE1"/>
    <w:rsid w:val="001A3483"/>
    <w:rsid w:val="001A4577"/>
    <w:rsid w:val="001A4915"/>
    <w:rsid w:val="001A4ED8"/>
    <w:rsid w:val="001A5381"/>
    <w:rsid w:val="001A5AC1"/>
    <w:rsid w:val="001A61C9"/>
    <w:rsid w:val="001A6487"/>
    <w:rsid w:val="001A6A54"/>
    <w:rsid w:val="001A73A9"/>
    <w:rsid w:val="001A7D8F"/>
    <w:rsid w:val="001B0DD5"/>
    <w:rsid w:val="001B224C"/>
    <w:rsid w:val="001B2CC5"/>
    <w:rsid w:val="001B49A5"/>
    <w:rsid w:val="001B60DD"/>
    <w:rsid w:val="001B6AB2"/>
    <w:rsid w:val="001B7DA4"/>
    <w:rsid w:val="001C0387"/>
    <w:rsid w:val="001C03E2"/>
    <w:rsid w:val="001C1003"/>
    <w:rsid w:val="001C1020"/>
    <w:rsid w:val="001C3513"/>
    <w:rsid w:val="001C3BEC"/>
    <w:rsid w:val="001C4365"/>
    <w:rsid w:val="001C67AC"/>
    <w:rsid w:val="001C6C3A"/>
    <w:rsid w:val="001C6EC8"/>
    <w:rsid w:val="001C7FAE"/>
    <w:rsid w:val="001D09A5"/>
    <w:rsid w:val="001D0E83"/>
    <w:rsid w:val="001D2792"/>
    <w:rsid w:val="001D28DC"/>
    <w:rsid w:val="001D2B3D"/>
    <w:rsid w:val="001D3132"/>
    <w:rsid w:val="001D3202"/>
    <w:rsid w:val="001D47F6"/>
    <w:rsid w:val="001D4871"/>
    <w:rsid w:val="001D55F7"/>
    <w:rsid w:val="001D5D00"/>
    <w:rsid w:val="001D6C37"/>
    <w:rsid w:val="001D73B0"/>
    <w:rsid w:val="001D7DB2"/>
    <w:rsid w:val="001E0287"/>
    <w:rsid w:val="001E0C77"/>
    <w:rsid w:val="001E18D7"/>
    <w:rsid w:val="001E4B41"/>
    <w:rsid w:val="001E578C"/>
    <w:rsid w:val="001E62D1"/>
    <w:rsid w:val="001F16D4"/>
    <w:rsid w:val="001F1B85"/>
    <w:rsid w:val="001F1BE1"/>
    <w:rsid w:val="001F1E6E"/>
    <w:rsid w:val="001F21C3"/>
    <w:rsid w:val="001F2A1A"/>
    <w:rsid w:val="001F43FA"/>
    <w:rsid w:val="001F447F"/>
    <w:rsid w:val="001F5932"/>
    <w:rsid w:val="001F63D5"/>
    <w:rsid w:val="001F6831"/>
    <w:rsid w:val="001F6DF2"/>
    <w:rsid w:val="001F7183"/>
    <w:rsid w:val="002003F9"/>
    <w:rsid w:val="00200DAA"/>
    <w:rsid w:val="00203972"/>
    <w:rsid w:val="0020484F"/>
    <w:rsid w:val="0020543A"/>
    <w:rsid w:val="00205CB9"/>
    <w:rsid w:val="002068A7"/>
    <w:rsid w:val="00206C3F"/>
    <w:rsid w:val="00206DBD"/>
    <w:rsid w:val="00207678"/>
    <w:rsid w:val="00207CF9"/>
    <w:rsid w:val="00210208"/>
    <w:rsid w:val="00210FAC"/>
    <w:rsid w:val="00211531"/>
    <w:rsid w:val="00212325"/>
    <w:rsid w:val="00212B9C"/>
    <w:rsid w:val="00212C59"/>
    <w:rsid w:val="00212C91"/>
    <w:rsid w:val="0021349E"/>
    <w:rsid w:val="00213641"/>
    <w:rsid w:val="00213753"/>
    <w:rsid w:val="0021383D"/>
    <w:rsid w:val="002148A6"/>
    <w:rsid w:val="002155A5"/>
    <w:rsid w:val="00215A31"/>
    <w:rsid w:val="00215B1F"/>
    <w:rsid w:val="002165C5"/>
    <w:rsid w:val="00216AF8"/>
    <w:rsid w:val="00216D15"/>
    <w:rsid w:val="00217661"/>
    <w:rsid w:val="002178A0"/>
    <w:rsid w:val="002247DE"/>
    <w:rsid w:val="00227B68"/>
    <w:rsid w:val="002301A8"/>
    <w:rsid w:val="0023188F"/>
    <w:rsid w:val="00232312"/>
    <w:rsid w:val="00233537"/>
    <w:rsid w:val="00235C89"/>
    <w:rsid w:val="00236064"/>
    <w:rsid w:val="00236342"/>
    <w:rsid w:val="002414B7"/>
    <w:rsid w:val="00241D51"/>
    <w:rsid w:val="002427CD"/>
    <w:rsid w:val="00243A58"/>
    <w:rsid w:val="00245C46"/>
    <w:rsid w:val="00246E62"/>
    <w:rsid w:val="002513E6"/>
    <w:rsid w:val="00251DDF"/>
    <w:rsid w:val="00253669"/>
    <w:rsid w:val="0025393A"/>
    <w:rsid w:val="00254F93"/>
    <w:rsid w:val="002552EF"/>
    <w:rsid w:val="00255BC4"/>
    <w:rsid w:val="002565F0"/>
    <w:rsid w:val="00260076"/>
    <w:rsid w:val="00260E67"/>
    <w:rsid w:val="00261A44"/>
    <w:rsid w:val="00261E43"/>
    <w:rsid w:val="00261FC0"/>
    <w:rsid w:val="0026215D"/>
    <w:rsid w:val="00263CBB"/>
    <w:rsid w:val="002657DF"/>
    <w:rsid w:val="00265DE2"/>
    <w:rsid w:val="00266AF3"/>
    <w:rsid w:val="002674CB"/>
    <w:rsid w:val="00267892"/>
    <w:rsid w:val="00270AFD"/>
    <w:rsid w:val="002727CB"/>
    <w:rsid w:val="0027405F"/>
    <w:rsid w:val="002749C3"/>
    <w:rsid w:val="00275A50"/>
    <w:rsid w:val="00275DA3"/>
    <w:rsid w:val="002770BA"/>
    <w:rsid w:val="00277497"/>
    <w:rsid w:val="00277DA5"/>
    <w:rsid w:val="00280059"/>
    <w:rsid w:val="002801A7"/>
    <w:rsid w:val="00280C3B"/>
    <w:rsid w:val="002811AC"/>
    <w:rsid w:val="00282342"/>
    <w:rsid w:val="00282A49"/>
    <w:rsid w:val="002832BA"/>
    <w:rsid w:val="0029072E"/>
    <w:rsid w:val="00290B00"/>
    <w:rsid w:val="00292116"/>
    <w:rsid w:val="00292281"/>
    <w:rsid w:val="00293FFB"/>
    <w:rsid w:val="00295C2F"/>
    <w:rsid w:val="00295DC2"/>
    <w:rsid w:val="00296447"/>
    <w:rsid w:val="002975C6"/>
    <w:rsid w:val="002A0943"/>
    <w:rsid w:val="002A1416"/>
    <w:rsid w:val="002A4C39"/>
    <w:rsid w:val="002A75C7"/>
    <w:rsid w:val="002B13AD"/>
    <w:rsid w:val="002B2343"/>
    <w:rsid w:val="002B2455"/>
    <w:rsid w:val="002B39F0"/>
    <w:rsid w:val="002B5244"/>
    <w:rsid w:val="002B627F"/>
    <w:rsid w:val="002B6281"/>
    <w:rsid w:val="002B63B1"/>
    <w:rsid w:val="002B7FAA"/>
    <w:rsid w:val="002C0FDD"/>
    <w:rsid w:val="002C3BFF"/>
    <w:rsid w:val="002C5566"/>
    <w:rsid w:val="002C5728"/>
    <w:rsid w:val="002C5B4B"/>
    <w:rsid w:val="002C5B86"/>
    <w:rsid w:val="002C6D5F"/>
    <w:rsid w:val="002C6E85"/>
    <w:rsid w:val="002C7C7D"/>
    <w:rsid w:val="002D0BB1"/>
    <w:rsid w:val="002D0ECF"/>
    <w:rsid w:val="002D140C"/>
    <w:rsid w:val="002D143F"/>
    <w:rsid w:val="002D3783"/>
    <w:rsid w:val="002D43C3"/>
    <w:rsid w:val="002D448F"/>
    <w:rsid w:val="002D50E2"/>
    <w:rsid w:val="002D5C56"/>
    <w:rsid w:val="002D65F1"/>
    <w:rsid w:val="002D6761"/>
    <w:rsid w:val="002D6B63"/>
    <w:rsid w:val="002D70A6"/>
    <w:rsid w:val="002D7BD6"/>
    <w:rsid w:val="002E0725"/>
    <w:rsid w:val="002E0BAE"/>
    <w:rsid w:val="002E1E28"/>
    <w:rsid w:val="002E234F"/>
    <w:rsid w:val="002E29A9"/>
    <w:rsid w:val="002E2CC8"/>
    <w:rsid w:val="002E380F"/>
    <w:rsid w:val="002E4185"/>
    <w:rsid w:val="002E4AE9"/>
    <w:rsid w:val="002E5C8C"/>
    <w:rsid w:val="002F0214"/>
    <w:rsid w:val="002F2207"/>
    <w:rsid w:val="002F29CF"/>
    <w:rsid w:val="002F3303"/>
    <w:rsid w:val="002F737D"/>
    <w:rsid w:val="002F78E0"/>
    <w:rsid w:val="0030213C"/>
    <w:rsid w:val="003026E7"/>
    <w:rsid w:val="00302AD7"/>
    <w:rsid w:val="00302D5B"/>
    <w:rsid w:val="00304481"/>
    <w:rsid w:val="00305508"/>
    <w:rsid w:val="00307435"/>
    <w:rsid w:val="00313331"/>
    <w:rsid w:val="00314EDB"/>
    <w:rsid w:val="003165AE"/>
    <w:rsid w:val="00317577"/>
    <w:rsid w:val="003200B3"/>
    <w:rsid w:val="00320207"/>
    <w:rsid w:val="00320A19"/>
    <w:rsid w:val="00320A80"/>
    <w:rsid w:val="0032525E"/>
    <w:rsid w:val="00330BBE"/>
    <w:rsid w:val="00331BB0"/>
    <w:rsid w:val="00335B07"/>
    <w:rsid w:val="00336207"/>
    <w:rsid w:val="003373F3"/>
    <w:rsid w:val="003425D8"/>
    <w:rsid w:val="0034290C"/>
    <w:rsid w:val="00343324"/>
    <w:rsid w:val="003438CC"/>
    <w:rsid w:val="00343B50"/>
    <w:rsid w:val="00343EF4"/>
    <w:rsid w:val="00345952"/>
    <w:rsid w:val="00346B00"/>
    <w:rsid w:val="0034709A"/>
    <w:rsid w:val="00347880"/>
    <w:rsid w:val="00347E91"/>
    <w:rsid w:val="003505F8"/>
    <w:rsid w:val="00351F76"/>
    <w:rsid w:val="00352503"/>
    <w:rsid w:val="003527C9"/>
    <w:rsid w:val="00353DF8"/>
    <w:rsid w:val="003540E2"/>
    <w:rsid w:val="00354A2C"/>
    <w:rsid w:val="00355BFE"/>
    <w:rsid w:val="0035602A"/>
    <w:rsid w:val="00357607"/>
    <w:rsid w:val="003618D6"/>
    <w:rsid w:val="00363680"/>
    <w:rsid w:val="003640F1"/>
    <w:rsid w:val="00364C82"/>
    <w:rsid w:val="00365826"/>
    <w:rsid w:val="00365F57"/>
    <w:rsid w:val="00366991"/>
    <w:rsid w:val="00366FFD"/>
    <w:rsid w:val="003672F9"/>
    <w:rsid w:val="0037152A"/>
    <w:rsid w:val="0037286A"/>
    <w:rsid w:val="0037306E"/>
    <w:rsid w:val="00373E55"/>
    <w:rsid w:val="00375560"/>
    <w:rsid w:val="003755D4"/>
    <w:rsid w:val="00375C75"/>
    <w:rsid w:val="00376186"/>
    <w:rsid w:val="003761E3"/>
    <w:rsid w:val="00376848"/>
    <w:rsid w:val="00380551"/>
    <w:rsid w:val="00380D88"/>
    <w:rsid w:val="0038124A"/>
    <w:rsid w:val="003815D3"/>
    <w:rsid w:val="00381DFE"/>
    <w:rsid w:val="00382FB9"/>
    <w:rsid w:val="0038389A"/>
    <w:rsid w:val="0038403B"/>
    <w:rsid w:val="003842C1"/>
    <w:rsid w:val="00385808"/>
    <w:rsid w:val="00385C16"/>
    <w:rsid w:val="00386C02"/>
    <w:rsid w:val="003901F7"/>
    <w:rsid w:val="00390ED3"/>
    <w:rsid w:val="00391713"/>
    <w:rsid w:val="003921C8"/>
    <w:rsid w:val="0039262C"/>
    <w:rsid w:val="00392653"/>
    <w:rsid w:val="0039278C"/>
    <w:rsid w:val="00392B60"/>
    <w:rsid w:val="00394797"/>
    <w:rsid w:val="00394804"/>
    <w:rsid w:val="003952A2"/>
    <w:rsid w:val="00395C1D"/>
    <w:rsid w:val="00396F83"/>
    <w:rsid w:val="003A1C17"/>
    <w:rsid w:val="003A3245"/>
    <w:rsid w:val="003A4343"/>
    <w:rsid w:val="003A45D3"/>
    <w:rsid w:val="003A4ABF"/>
    <w:rsid w:val="003A62EB"/>
    <w:rsid w:val="003A6425"/>
    <w:rsid w:val="003A72B4"/>
    <w:rsid w:val="003A7B14"/>
    <w:rsid w:val="003A7DCB"/>
    <w:rsid w:val="003B19EF"/>
    <w:rsid w:val="003B2CA8"/>
    <w:rsid w:val="003B452C"/>
    <w:rsid w:val="003B4B00"/>
    <w:rsid w:val="003B5F5D"/>
    <w:rsid w:val="003B61C6"/>
    <w:rsid w:val="003B722D"/>
    <w:rsid w:val="003C2309"/>
    <w:rsid w:val="003C344A"/>
    <w:rsid w:val="003C597D"/>
    <w:rsid w:val="003C61D7"/>
    <w:rsid w:val="003C6AB9"/>
    <w:rsid w:val="003C6FD2"/>
    <w:rsid w:val="003C720D"/>
    <w:rsid w:val="003C76A4"/>
    <w:rsid w:val="003C7DD6"/>
    <w:rsid w:val="003D0105"/>
    <w:rsid w:val="003D01E5"/>
    <w:rsid w:val="003D144A"/>
    <w:rsid w:val="003D16BD"/>
    <w:rsid w:val="003D1946"/>
    <w:rsid w:val="003D1A99"/>
    <w:rsid w:val="003D2B71"/>
    <w:rsid w:val="003D50F8"/>
    <w:rsid w:val="003D5212"/>
    <w:rsid w:val="003D591C"/>
    <w:rsid w:val="003D6725"/>
    <w:rsid w:val="003E0AB0"/>
    <w:rsid w:val="003E1225"/>
    <w:rsid w:val="003E3F5A"/>
    <w:rsid w:val="003E484C"/>
    <w:rsid w:val="003E4880"/>
    <w:rsid w:val="003E4CF8"/>
    <w:rsid w:val="003E640B"/>
    <w:rsid w:val="003E7742"/>
    <w:rsid w:val="003F0201"/>
    <w:rsid w:val="003F095B"/>
    <w:rsid w:val="003F0B85"/>
    <w:rsid w:val="003F1ADA"/>
    <w:rsid w:val="003F1F3F"/>
    <w:rsid w:val="003F382F"/>
    <w:rsid w:val="003F473F"/>
    <w:rsid w:val="003F5A58"/>
    <w:rsid w:val="003F5B56"/>
    <w:rsid w:val="003F6BA6"/>
    <w:rsid w:val="003F6D29"/>
    <w:rsid w:val="003F6E34"/>
    <w:rsid w:val="003F72B2"/>
    <w:rsid w:val="003F79A7"/>
    <w:rsid w:val="004004BB"/>
    <w:rsid w:val="004037CC"/>
    <w:rsid w:val="0040455C"/>
    <w:rsid w:val="004052E3"/>
    <w:rsid w:val="0040563D"/>
    <w:rsid w:val="00405D3F"/>
    <w:rsid w:val="00405D54"/>
    <w:rsid w:val="004065FA"/>
    <w:rsid w:val="00407FD5"/>
    <w:rsid w:val="004106EB"/>
    <w:rsid w:val="004112BD"/>
    <w:rsid w:val="004123E2"/>
    <w:rsid w:val="0041277A"/>
    <w:rsid w:val="0041346B"/>
    <w:rsid w:val="00414FCD"/>
    <w:rsid w:val="00416FFF"/>
    <w:rsid w:val="0041750B"/>
    <w:rsid w:val="004206D5"/>
    <w:rsid w:val="00421DA2"/>
    <w:rsid w:val="004225B0"/>
    <w:rsid w:val="00424628"/>
    <w:rsid w:val="0042514E"/>
    <w:rsid w:val="00425D07"/>
    <w:rsid w:val="00426E40"/>
    <w:rsid w:val="004276DB"/>
    <w:rsid w:val="0043113C"/>
    <w:rsid w:val="004314A1"/>
    <w:rsid w:val="00431CE8"/>
    <w:rsid w:val="00432DB2"/>
    <w:rsid w:val="004341EC"/>
    <w:rsid w:val="00434ADD"/>
    <w:rsid w:val="004353A4"/>
    <w:rsid w:val="00437D1D"/>
    <w:rsid w:val="00437D3D"/>
    <w:rsid w:val="004400DE"/>
    <w:rsid w:val="00440AF0"/>
    <w:rsid w:val="004421A2"/>
    <w:rsid w:val="0044295E"/>
    <w:rsid w:val="00442D47"/>
    <w:rsid w:val="00443CBA"/>
    <w:rsid w:val="00444801"/>
    <w:rsid w:val="0044554B"/>
    <w:rsid w:val="00447100"/>
    <w:rsid w:val="00447173"/>
    <w:rsid w:val="00451614"/>
    <w:rsid w:val="0045262F"/>
    <w:rsid w:val="004528F5"/>
    <w:rsid w:val="00452ED2"/>
    <w:rsid w:val="004531E1"/>
    <w:rsid w:val="004539FE"/>
    <w:rsid w:val="00454241"/>
    <w:rsid w:val="00454701"/>
    <w:rsid w:val="00454B4F"/>
    <w:rsid w:val="00454DC4"/>
    <w:rsid w:val="00454E7B"/>
    <w:rsid w:val="00455812"/>
    <w:rsid w:val="00456244"/>
    <w:rsid w:val="004574C5"/>
    <w:rsid w:val="004618A1"/>
    <w:rsid w:val="00461AEB"/>
    <w:rsid w:val="0046255D"/>
    <w:rsid w:val="00462D52"/>
    <w:rsid w:val="00464E9E"/>
    <w:rsid w:val="00465792"/>
    <w:rsid w:val="0046584B"/>
    <w:rsid w:val="00465BE5"/>
    <w:rsid w:val="00466149"/>
    <w:rsid w:val="00467715"/>
    <w:rsid w:val="0047063F"/>
    <w:rsid w:val="00470D4E"/>
    <w:rsid w:val="00471325"/>
    <w:rsid w:val="00471F41"/>
    <w:rsid w:val="0047288F"/>
    <w:rsid w:val="00473614"/>
    <w:rsid w:val="00473840"/>
    <w:rsid w:val="00473AFD"/>
    <w:rsid w:val="004745A2"/>
    <w:rsid w:val="004759C4"/>
    <w:rsid w:val="00475D50"/>
    <w:rsid w:val="00476D9A"/>
    <w:rsid w:val="00477F0A"/>
    <w:rsid w:val="004803C5"/>
    <w:rsid w:val="0048076A"/>
    <w:rsid w:val="00480BF0"/>
    <w:rsid w:val="00480BF2"/>
    <w:rsid w:val="00482321"/>
    <w:rsid w:val="0048269B"/>
    <w:rsid w:val="004859CD"/>
    <w:rsid w:val="0048686A"/>
    <w:rsid w:val="00486A05"/>
    <w:rsid w:val="00487140"/>
    <w:rsid w:val="00487FF7"/>
    <w:rsid w:val="0049042F"/>
    <w:rsid w:val="00490E7C"/>
    <w:rsid w:val="00493BF3"/>
    <w:rsid w:val="00494783"/>
    <w:rsid w:val="004959BA"/>
    <w:rsid w:val="00495AD6"/>
    <w:rsid w:val="004962A8"/>
    <w:rsid w:val="00496353"/>
    <w:rsid w:val="00496626"/>
    <w:rsid w:val="00496ED9"/>
    <w:rsid w:val="004A11FC"/>
    <w:rsid w:val="004A22AB"/>
    <w:rsid w:val="004A2DE3"/>
    <w:rsid w:val="004A3686"/>
    <w:rsid w:val="004A5611"/>
    <w:rsid w:val="004A5745"/>
    <w:rsid w:val="004A59D7"/>
    <w:rsid w:val="004A6085"/>
    <w:rsid w:val="004A6270"/>
    <w:rsid w:val="004A69D4"/>
    <w:rsid w:val="004A6B0A"/>
    <w:rsid w:val="004A7C30"/>
    <w:rsid w:val="004B2AD9"/>
    <w:rsid w:val="004B2DC8"/>
    <w:rsid w:val="004B42EB"/>
    <w:rsid w:val="004B4A5A"/>
    <w:rsid w:val="004B5063"/>
    <w:rsid w:val="004B55BB"/>
    <w:rsid w:val="004B60CD"/>
    <w:rsid w:val="004B6E5B"/>
    <w:rsid w:val="004B76AE"/>
    <w:rsid w:val="004B76C5"/>
    <w:rsid w:val="004C08DA"/>
    <w:rsid w:val="004C1F4A"/>
    <w:rsid w:val="004C1F4B"/>
    <w:rsid w:val="004C307A"/>
    <w:rsid w:val="004C4A3D"/>
    <w:rsid w:val="004C4C86"/>
    <w:rsid w:val="004C59E3"/>
    <w:rsid w:val="004C607E"/>
    <w:rsid w:val="004D143C"/>
    <w:rsid w:val="004D25BF"/>
    <w:rsid w:val="004D574D"/>
    <w:rsid w:val="004D5AF1"/>
    <w:rsid w:val="004D6132"/>
    <w:rsid w:val="004D699E"/>
    <w:rsid w:val="004D72B7"/>
    <w:rsid w:val="004E0FE0"/>
    <w:rsid w:val="004E1076"/>
    <w:rsid w:val="004E1884"/>
    <w:rsid w:val="004E1A00"/>
    <w:rsid w:val="004E1A57"/>
    <w:rsid w:val="004E2914"/>
    <w:rsid w:val="004E36AE"/>
    <w:rsid w:val="004E48E3"/>
    <w:rsid w:val="004E531E"/>
    <w:rsid w:val="004E600D"/>
    <w:rsid w:val="004E60D3"/>
    <w:rsid w:val="004E6EEB"/>
    <w:rsid w:val="004E70D8"/>
    <w:rsid w:val="004E771C"/>
    <w:rsid w:val="004F1C54"/>
    <w:rsid w:val="004F2973"/>
    <w:rsid w:val="004F5590"/>
    <w:rsid w:val="004F5DEE"/>
    <w:rsid w:val="004F657C"/>
    <w:rsid w:val="004F78F3"/>
    <w:rsid w:val="004F79FD"/>
    <w:rsid w:val="00501691"/>
    <w:rsid w:val="005019D1"/>
    <w:rsid w:val="005026ED"/>
    <w:rsid w:val="00502B1B"/>
    <w:rsid w:val="005030EE"/>
    <w:rsid w:val="00505A33"/>
    <w:rsid w:val="0050692D"/>
    <w:rsid w:val="00510693"/>
    <w:rsid w:val="00510E1F"/>
    <w:rsid w:val="00512BB5"/>
    <w:rsid w:val="005130DE"/>
    <w:rsid w:val="005136C6"/>
    <w:rsid w:val="00513D12"/>
    <w:rsid w:val="00514A66"/>
    <w:rsid w:val="005152AF"/>
    <w:rsid w:val="005176D0"/>
    <w:rsid w:val="00517B91"/>
    <w:rsid w:val="00517F5E"/>
    <w:rsid w:val="00521021"/>
    <w:rsid w:val="00521B88"/>
    <w:rsid w:val="00521DFB"/>
    <w:rsid w:val="0052441E"/>
    <w:rsid w:val="0052471C"/>
    <w:rsid w:val="005259C0"/>
    <w:rsid w:val="0052779D"/>
    <w:rsid w:val="00527F53"/>
    <w:rsid w:val="005307CB"/>
    <w:rsid w:val="00530E3C"/>
    <w:rsid w:val="00530EE8"/>
    <w:rsid w:val="0053118C"/>
    <w:rsid w:val="00532525"/>
    <w:rsid w:val="005332AA"/>
    <w:rsid w:val="005351C3"/>
    <w:rsid w:val="00535CC0"/>
    <w:rsid w:val="00535CF1"/>
    <w:rsid w:val="005379D4"/>
    <w:rsid w:val="00537F39"/>
    <w:rsid w:val="005417DD"/>
    <w:rsid w:val="00541B40"/>
    <w:rsid w:val="005423EB"/>
    <w:rsid w:val="005429C8"/>
    <w:rsid w:val="00543806"/>
    <w:rsid w:val="00544646"/>
    <w:rsid w:val="00545189"/>
    <w:rsid w:val="00545873"/>
    <w:rsid w:val="005458FB"/>
    <w:rsid w:val="005474F7"/>
    <w:rsid w:val="005476FE"/>
    <w:rsid w:val="005500CC"/>
    <w:rsid w:val="00550760"/>
    <w:rsid w:val="00550B2C"/>
    <w:rsid w:val="00551BEF"/>
    <w:rsid w:val="00552D6B"/>
    <w:rsid w:val="00554179"/>
    <w:rsid w:val="0055456B"/>
    <w:rsid w:val="00554FF9"/>
    <w:rsid w:val="005552DA"/>
    <w:rsid w:val="00556E68"/>
    <w:rsid w:val="00557070"/>
    <w:rsid w:val="005576AF"/>
    <w:rsid w:val="00560301"/>
    <w:rsid w:val="0056102A"/>
    <w:rsid w:val="0056273E"/>
    <w:rsid w:val="00562E2B"/>
    <w:rsid w:val="00564BE9"/>
    <w:rsid w:val="00564D82"/>
    <w:rsid w:val="005669E3"/>
    <w:rsid w:val="0056722A"/>
    <w:rsid w:val="00567F2A"/>
    <w:rsid w:val="00571140"/>
    <w:rsid w:val="00572AA7"/>
    <w:rsid w:val="005732F3"/>
    <w:rsid w:val="00574CD0"/>
    <w:rsid w:val="00575495"/>
    <w:rsid w:val="00576463"/>
    <w:rsid w:val="00576DA4"/>
    <w:rsid w:val="00577253"/>
    <w:rsid w:val="00581947"/>
    <w:rsid w:val="00583809"/>
    <w:rsid w:val="00583DE3"/>
    <w:rsid w:val="00584A4C"/>
    <w:rsid w:val="00584CC0"/>
    <w:rsid w:val="005857BE"/>
    <w:rsid w:val="00585CDB"/>
    <w:rsid w:val="0058625E"/>
    <w:rsid w:val="005867EC"/>
    <w:rsid w:val="0058746A"/>
    <w:rsid w:val="00587737"/>
    <w:rsid w:val="00591B57"/>
    <w:rsid w:val="005927E5"/>
    <w:rsid w:val="00592B5A"/>
    <w:rsid w:val="00593333"/>
    <w:rsid w:val="00593B24"/>
    <w:rsid w:val="00595997"/>
    <w:rsid w:val="00595BBE"/>
    <w:rsid w:val="00596E71"/>
    <w:rsid w:val="0059715E"/>
    <w:rsid w:val="0059761D"/>
    <w:rsid w:val="00597AC0"/>
    <w:rsid w:val="00597AC4"/>
    <w:rsid w:val="005A0FB8"/>
    <w:rsid w:val="005A3AFF"/>
    <w:rsid w:val="005A3D9C"/>
    <w:rsid w:val="005A433A"/>
    <w:rsid w:val="005A6AD3"/>
    <w:rsid w:val="005A7797"/>
    <w:rsid w:val="005B006F"/>
    <w:rsid w:val="005B2D4F"/>
    <w:rsid w:val="005B3A5F"/>
    <w:rsid w:val="005B4922"/>
    <w:rsid w:val="005B58EA"/>
    <w:rsid w:val="005B5F2B"/>
    <w:rsid w:val="005B6687"/>
    <w:rsid w:val="005B7549"/>
    <w:rsid w:val="005C0BBD"/>
    <w:rsid w:val="005C242D"/>
    <w:rsid w:val="005C2931"/>
    <w:rsid w:val="005C447B"/>
    <w:rsid w:val="005C4535"/>
    <w:rsid w:val="005C5A12"/>
    <w:rsid w:val="005C60F2"/>
    <w:rsid w:val="005C693E"/>
    <w:rsid w:val="005C7BB7"/>
    <w:rsid w:val="005D0085"/>
    <w:rsid w:val="005D13CB"/>
    <w:rsid w:val="005D1CFA"/>
    <w:rsid w:val="005D2148"/>
    <w:rsid w:val="005D25F6"/>
    <w:rsid w:val="005D3274"/>
    <w:rsid w:val="005D3F6D"/>
    <w:rsid w:val="005D4D3A"/>
    <w:rsid w:val="005D4DD7"/>
    <w:rsid w:val="005D58B3"/>
    <w:rsid w:val="005D63C5"/>
    <w:rsid w:val="005E021C"/>
    <w:rsid w:val="005E0310"/>
    <w:rsid w:val="005E2A08"/>
    <w:rsid w:val="005E3364"/>
    <w:rsid w:val="005E34BE"/>
    <w:rsid w:val="005E49EB"/>
    <w:rsid w:val="005E5B6B"/>
    <w:rsid w:val="005E6DD6"/>
    <w:rsid w:val="005E7CC8"/>
    <w:rsid w:val="005E7D09"/>
    <w:rsid w:val="005F26F8"/>
    <w:rsid w:val="005F3271"/>
    <w:rsid w:val="005F4BB8"/>
    <w:rsid w:val="005F5F62"/>
    <w:rsid w:val="005F729D"/>
    <w:rsid w:val="005F753A"/>
    <w:rsid w:val="005F79E5"/>
    <w:rsid w:val="00600858"/>
    <w:rsid w:val="0060177F"/>
    <w:rsid w:val="006021BC"/>
    <w:rsid w:val="00602800"/>
    <w:rsid w:val="00606584"/>
    <w:rsid w:val="00607655"/>
    <w:rsid w:val="00607B2A"/>
    <w:rsid w:val="006108EF"/>
    <w:rsid w:val="00611259"/>
    <w:rsid w:val="006112FC"/>
    <w:rsid w:val="00611C4C"/>
    <w:rsid w:val="00612668"/>
    <w:rsid w:val="00612DF9"/>
    <w:rsid w:val="00614E80"/>
    <w:rsid w:val="006157C8"/>
    <w:rsid w:val="00615D44"/>
    <w:rsid w:val="00616255"/>
    <w:rsid w:val="00621A0F"/>
    <w:rsid w:val="00621B52"/>
    <w:rsid w:val="00621D08"/>
    <w:rsid w:val="00622C01"/>
    <w:rsid w:val="00623F9E"/>
    <w:rsid w:val="00624040"/>
    <w:rsid w:val="006242F1"/>
    <w:rsid w:val="0062586F"/>
    <w:rsid w:val="00626641"/>
    <w:rsid w:val="00627F25"/>
    <w:rsid w:val="006311EA"/>
    <w:rsid w:val="00631CA6"/>
    <w:rsid w:val="006325FA"/>
    <w:rsid w:val="00632707"/>
    <w:rsid w:val="0063398B"/>
    <w:rsid w:val="00633C1E"/>
    <w:rsid w:val="00634501"/>
    <w:rsid w:val="006348F8"/>
    <w:rsid w:val="00635474"/>
    <w:rsid w:val="00641D54"/>
    <w:rsid w:val="00642342"/>
    <w:rsid w:val="00643249"/>
    <w:rsid w:val="00643EDA"/>
    <w:rsid w:val="0064418C"/>
    <w:rsid w:val="00646341"/>
    <w:rsid w:val="00646E20"/>
    <w:rsid w:val="00646F5B"/>
    <w:rsid w:val="00646FE4"/>
    <w:rsid w:val="00647ECE"/>
    <w:rsid w:val="00650C0E"/>
    <w:rsid w:val="0065193D"/>
    <w:rsid w:val="006529F4"/>
    <w:rsid w:val="00653707"/>
    <w:rsid w:val="00653FD3"/>
    <w:rsid w:val="00655165"/>
    <w:rsid w:val="00655EB3"/>
    <w:rsid w:val="00657FDF"/>
    <w:rsid w:val="006622AD"/>
    <w:rsid w:val="00662F43"/>
    <w:rsid w:val="00663DB5"/>
    <w:rsid w:val="00665391"/>
    <w:rsid w:val="006657E2"/>
    <w:rsid w:val="00666914"/>
    <w:rsid w:val="006672D7"/>
    <w:rsid w:val="006676A8"/>
    <w:rsid w:val="006706D5"/>
    <w:rsid w:val="00670984"/>
    <w:rsid w:val="00670A18"/>
    <w:rsid w:val="00670D62"/>
    <w:rsid w:val="00672C93"/>
    <w:rsid w:val="00673E62"/>
    <w:rsid w:val="0067419E"/>
    <w:rsid w:val="00676357"/>
    <w:rsid w:val="0067694B"/>
    <w:rsid w:val="006769B1"/>
    <w:rsid w:val="00676A13"/>
    <w:rsid w:val="00677442"/>
    <w:rsid w:val="00683929"/>
    <w:rsid w:val="00684B38"/>
    <w:rsid w:val="00685F58"/>
    <w:rsid w:val="00686F79"/>
    <w:rsid w:val="006907B2"/>
    <w:rsid w:val="00690B27"/>
    <w:rsid w:val="00691051"/>
    <w:rsid w:val="006912FD"/>
    <w:rsid w:val="006916F1"/>
    <w:rsid w:val="00691C1F"/>
    <w:rsid w:val="00694347"/>
    <w:rsid w:val="0069581A"/>
    <w:rsid w:val="00696560"/>
    <w:rsid w:val="006969E1"/>
    <w:rsid w:val="006A0856"/>
    <w:rsid w:val="006A0AAD"/>
    <w:rsid w:val="006A0D7C"/>
    <w:rsid w:val="006A1EB4"/>
    <w:rsid w:val="006A2A94"/>
    <w:rsid w:val="006A3398"/>
    <w:rsid w:val="006A34D7"/>
    <w:rsid w:val="006A367E"/>
    <w:rsid w:val="006A3EDF"/>
    <w:rsid w:val="006A403C"/>
    <w:rsid w:val="006A4342"/>
    <w:rsid w:val="006A48CD"/>
    <w:rsid w:val="006A4D86"/>
    <w:rsid w:val="006A5E32"/>
    <w:rsid w:val="006A5FCF"/>
    <w:rsid w:val="006A778C"/>
    <w:rsid w:val="006B1BB7"/>
    <w:rsid w:val="006B22CF"/>
    <w:rsid w:val="006B2E76"/>
    <w:rsid w:val="006B303E"/>
    <w:rsid w:val="006B31FE"/>
    <w:rsid w:val="006B3A81"/>
    <w:rsid w:val="006B404E"/>
    <w:rsid w:val="006B481D"/>
    <w:rsid w:val="006B4DC4"/>
    <w:rsid w:val="006B6163"/>
    <w:rsid w:val="006B6B9A"/>
    <w:rsid w:val="006B7A5A"/>
    <w:rsid w:val="006C05B8"/>
    <w:rsid w:val="006C165B"/>
    <w:rsid w:val="006C4438"/>
    <w:rsid w:val="006C4C34"/>
    <w:rsid w:val="006C6BBA"/>
    <w:rsid w:val="006C7A55"/>
    <w:rsid w:val="006D03EF"/>
    <w:rsid w:val="006D0516"/>
    <w:rsid w:val="006D1907"/>
    <w:rsid w:val="006D3F53"/>
    <w:rsid w:val="006D6A83"/>
    <w:rsid w:val="006E07FC"/>
    <w:rsid w:val="006E1DAB"/>
    <w:rsid w:val="006E2612"/>
    <w:rsid w:val="006E2CCF"/>
    <w:rsid w:val="006E2EB0"/>
    <w:rsid w:val="006E322D"/>
    <w:rsid w:val="006E3340"/>
    <w:rsid w:val="006E3877"/>
    <w:rsid w:val="006E3D81"/>
    <w:rsid w:val="006E3FF5"/>
    <w:rsid w:val="006E7388"/>
    <w:rsid w:val="006E76C7"/>
    <w:rsid w:val="006F03C8"/>
    <w:rsid w:val="006F0E1D"/>
    <w:rsid w:val="006F12E3"/>
    <w:rsid w:val="006F2A04"/>
    <w:rsid w:val="006F34AA"/>
    <w:rsid w:val="006F3662"/>
    <w:rsid w:val="006F4996"/>
    <w:rsid w:val="006F5165"/>
    <w:rsid w:val="006F5286"/>
    <w:rsid w:val="006F7029"/>
    <w:rsid w:val="006F7341"/>
    <w:rsid w:val="006F77FD"/>
    <w:rsid w:val="006F79F5"/>
    <w:rsid w:val="0070068F"/>
    <w:rsid w:val="00700F54"/>
    <w:rsid w:val="00701E71"/>
    <w:rsid w:val="00702724"/>
    <w:rsid w:val="007036E2"/>
    <w:rsid w:val="007041C3"/>
    <w:rsid w:val="00706FBC"/>
    <w:rsid w:val="00707699"/>
    <w:rsid w:val="00707D3B"/>
    <w:rsid w:val="0071046E"/>
    <w:rsid w:val="0071171F"/>
    <w:rsid w:val="00711964"/>
    <w:rsid w:val="007126EB"/>
    <w:rsid w:val="007134FF"/>
    <w:rsid w:val="00715060"/>
    <w:rsid w:val="00715E99"/>
    <w:rsid w:val="00716D3F"/>
    <w:rsid w:val="0072100A"/>
    <w:rsid w:val="00721EB8"/>
    <w:rsid w:val="00723917"/>
    <w:rsid w:val="00723DC5"/>
    <w:rsid w:val="0072407A"/>
    <w:rsid w:val="0072639C"/>
    <w:rsid w:val="00727FCE"/>
    <w:rsid w:val="00730E15"/>
    <w:rsid w:val="00730EA8"/>
    <w:rsid w:val="00730FD2"/>
    <w:rsid w:val="0073198B"/>
    <w:rsid w:val="00731A6D"/>
    <w:rsid w:val="007328D4"/>
    <w:rsid w:val="007351F4"/>
    <w:rsid w:val="00735237"/>
    <w:rsid w:val="007354D3"/>
    <w:rsid w:val="00735EBE"/>
    <w:rsid w:val="00736C8F"/>
    <w:rsid w:val="00736CC3"/>
    <w:rsid w:val="007372F9"/>
    <w:rsid w:val="0073771B"/>
    <w:rsid w:val="00741F2C"/>
    <w:rsid w:val="00742ACA"/>
    <w:rsid w:val="00743262"/>
    <w:rsid w:val="00743682"/>
    <w:rsid w:val="00743A24"/>
    <w:rsid w:val="007453B6"/>
    <w:rsid w:val="00745BC9"/>
    <w:rsid w:val="00745F85"/>
    <w:rsid w:val="00750039"/>
    <w:rsid w:val="0075063E"/>
    <w:rsid w:val="007520D1"/>
    <w:rsid w:val="00753461"/>
    <w:rsid w:val="007539A9"/>
    <w:rsid w:val="00753AA4"/>
    <w:rsid w:val="007571A3"/>
    <w:rsid w:val="007577F0"/>
    <w:rsid w:val="00757B61"/>
    <w:rsid w:val="007606C7"/>
    <w:rsid w:val="00760D8F"/>
    <w:rsid w:val="00761AD9"/>
    <w:rsid w:val="00762AE1"/>
    <w:rsid w:val="00765AB2"/>
    <w:rsid w:val="00765F19"/>
    <w:rsid w:val="00766FB4"/>
    <w:rsid w:val="007671C4"/>
    <w:rsid w:val="007673BE"/>
    <w:rsid w:val="00767F84"/>
    <w:rsid w:val="00771AAF"/>
    <w:rsid w:val="007740A2"/>
    <w:rsid w:val="00774F23"/>
    <w:rsid w:val="00776445"/>
    <w:rsid w:val="00777393"/>
    <w:rsid w:val="00777DD8"/>
    <w:rsid w:val="00780232"/>
    <w:rsid w:val="00782584"/>
    <w:rsid w:val="00783EA1"/>
    <w:rsid w:val="00784FB4"/>
    <w:rsid w:val="007857D2"/>
    <w:rsid w:val="0079078A"/>
    <w:rsid w:val="00790DFF"/>
    <w:rsid w:val="00790E7D"/>
    <w:rsid w:val="007938B7"/>
    <w:rsid w:val="00793A39"/>
    <w:rsid w:val="00795C4D"/>
    <w:rsid w:val="00796023"/>
    <w:rsid w:val="00797D9D"/>
    <w:rsid w:val="007A15F2"/>
    <w:rsid w:val="007A25F9"/>
    <w:rsid w:val="007A29AB"/>
    <w:rsid w:val="007A6ABF"/>
    <w:rsid w:val="007A6D2B"/>
    <w:rsid w:val="007A6E2B"/>
    <w:rsid w:val="007B0096"/>
    <w:rsid w:val="007B023B"/>
    <w:rsid w:val="007B1646"/>
    <w:rsid w:val="007B22EC"/>
    <w:rsid w:val="007B297B"/>
    <w:rsid w:val="007B353A"/>
    <w:rsid w:val="007B3EC0"/>
    <w:rsid w:val="007B4182"/>
    <w:rsid w:val="007B5973"/>
    <w:rsid w:val="007B64A7"/>
    <w:rsid w:val="007B697B"/>
    <w:rsid w:val="007B6DBA"/>
    <w:rsid w:val="007B74E2"/>
    <w:rsid w:val="007B7710"/>
    <w:rsid w:val="007C1C8C"/>
    <w:rsid w:val="007C249A"/>
    <w:rsid w:val="007C38B4"/>
    <w:rsid w:val="007C3CCE"/>
    <w:rsid w:val="007C416E"/>
    <w:rsid w:val="007C4323"/>
    <w:rsid w:val="007C4837"/>
    <w:rsid w:val="007C56B2"/>
    <w:rsid w:val="007C5A07"/>
    <w:rsid w:val="007C62EE"/>
    <w:rsid w:val="007D0C02"/>
    <w:rsid w:val="007D1D27"/>
    <w:rsid w:val="007D2890"/>
    <w:rsid w:val="007D2ACF"/>
    <w:rsid w:val="007D315C"/>
    <w:rsid w:val="007D3A59"/>
    <w:rsid w:val="007D58C1"/>
    <w:rsid w:val="007D59B6"/>
    <w:rsid w:val="007D64C4"/>
    <w:rsid w:val="007D6D31"/>
    <w:rsid w:val="007E06CB"/>
    <w:rsid w:val="007E1716"/>
    <w:rsid w:val="007E2773"/>
    <w:rsid w:val="007E364C"/>
    <w:rsid w:val="007E36E0"/>
    <w:rsid w:val="007E5845"/>
    <w:rsid w:val="007E682B"/>
    <w:rsid w:val="007E6F07"/>
    <w:rsid w:val="007F1C95"/>
    <w:rsid w:val="007F21B2"/>
    <w:rsid w:val="007F26FE"/>
    <w:rsid w:val="00800971"/>
    <w:rsid w:val="008011F5"/>
    <w:rsid w:val="00801597"/>
    <w:rsid w:val="00802165"/>
    <w:rsid w:val="008021ED"/>
    <w:rsid w:val="008024C1"/>
    <w:rsid w:val="0080448F"/>
    <w:rsid w:val="0080531D"/>
    <w:rsid w:val="008076D8"/>
    <w:rsid w:val="00810565"/>
    <w:rsid w:val="00810ACC"/>
    <w:rsid w:val="00811E6F"/>
    <w:rsid w:val="008126C3"/>
    <w:rsid w:val="00813CE1"/>
    <w:rsid w:val="008142E1"/>
    <w:rsid w:val="00815072"/>
    <w:rsid w:val="008157E1"/>
    <w:rsid w:val="00815F92"/>
    <w:rsid w:val="00816771"/>
    <w:rsid w:val="00816B28"/>
    <w:rsid w:val="00816DE9"/>
    <w:rsid w:val="00816E7A"/>
    <w:rsid w:val="008176DA"/>
    <w:rsid w:val="00817CAA"/>
    <w:rsid w:val="008202C5"/>
    <w:rsid w:val="00820B7F"/>
    <w:rsid w:val="00820DF0"/>
    <w:rsid w:val="00821218"/>
    <w:rsid w:val="0082248C"/>
    <w:rsid w:val="00822C52"/>
    <w:rsid w:val="00823A86"/>
    <w:rsid w:val="0082703F"/>
    <w:rsid w:val="00827106"/>
    <w:rsid w:val="0083119B"/>
    <w:rsid w:val="008314CD"/>
    <w:rsid w:val="00832226"/>
    <w:rsid w:val="008340DB"/>
    <w:rsid w:val="0083416C"/>
    <w:rsid w:val="00834EA0"/>
    <w:rsid w:val="00836102"/>
    <w:rsid w:val="00837791"/>
    <w:rsid w:val="008402FB"/>
    <w:rsid w:val="00840F85"/>
    <w:rsid w:val="00841905"/>
    <w:rsid w:val="008421E5"/>
    <w:rsid w:val="00842A42"/>
    <w:rsid w:val="00843110"/>
    <w:rsid w:val="008439C2"/>
    <w:rsid w:val="00844C20"/>
    <w:rsid w:val="00845E44"/>
    <w:rsid w:val="008460DC"/>
    <w:rsid w:val="008476B0"/>
    <w:rsid w:val="008477EE"/>
    <w:rsid w:val="0084788B"/>
    <w:rsid w:val="00850859"/>
    <w:rsid w:val="00851CC9"/>
    <w:rsid w:val="00853266"/>
    <w:rsid w:val="00853C15"/>
    <w:rsid w:val="008544E4"/>
    <w:rsid w:val="008553D9"/>
    <w:rsid w:val="008558A3"/>
    <w:rsid w:val="00856172"/>
    <w:rsid w:val="008568EE"/>
    <w:rsid w:val="0085715D"/>
    <w:rsid w:val="00857236"/>
    <w:rsid w:val="00860FDA"/>
    <w:rsid w:val="00862910"/>
    <w:rsid w:val="00862AA6"/>
    <w:rsid w:val="0086366A"/>
    <w:rsid w:val="00864923"/>
    <w:rsid w:val="00864981"/>
    <w:rsid w:val="0086545E"/>
    <w:rsid w:val="00865F7F"/>
    <w:rsid w:val="00866F65"/>
    <w:rsid w:val="0086793D"/>
    <w:rsid w:val="0087094F"/>
    <w:rsid w:val="008719D8"/>
    <w:rsid w:val="00871C93"/>
    <w:rsid w:val="008726F6"/>
    <w:rsid w:val="00880513"/>
    <w:rsid w:val="00882532"/>
    <w:rsid w:val="008828FD"/>
    <w:rsid w:val="00882F68"/>
    <w:rsid w:val="008837B1"/>
    <w:rsid w:val="008846AA"/>
    <w:rsid w:val="00885084"/>
    <w:rsid w:val="00885951"/>
    <w:rsid w:val="00886283"/>
    <w:rsid w:val="00890045"/>
    <w:rsid w:val="00890382"/>
    <w:rsid w:val="00890B8D"/>
    <w:rsid w:val="0089124B"/>
    <w:rsid w:val="008927DC"/>
    <w:rsid w:val="008937CB"/>
    <w:rsid w:val="00893E18"/>
    <w:rsid w:val="00893E87"/>
    <w:rsid w:val="00894481"/>
    <w:rsid w:val="0089524E"/>
    <w:rsid w:val="00896694"/>
    <w:rsid w:val="0089712D"/>
    <w:rsid w:val="00897145"/>
    <w:rsid w:val="008A1D57"/>
    <w:rsid w:val="008A3370"/>
    <w:rsid w:val="008A4F5D"/>
    <w:rsid w:val="008A53C8"/>
    <w:rsid w:val="008A7C9D"/>
    <w:rsid w:val="008B2016"/>
    <w:rsid w:val="008B221F"/>
    <w:rsid w:val="008B3D27"/>
    <w:rsid w:val="008B5545"/>
    <w:rsid w:val="008C15E9"/>
    <w:rsid w:val="008C1B30"/>
    <w:rsid w:val="008C1FD6"/>
    <w:rsid w:val="008C2DA6"/>
    <w:rsid w:val="008C322C"/>
    <w:rsid w:val="008C35AC"/>
    <w:rsid w:val="008C38DF"/>
    <w:rsid w:val="008C3C4A"/>
    <w:rsid w:val="008C3FC7"/>
    <w:rsid w:val="008C565C"/>
    <w:rsid w:val="008C5768"/>
    <w:rsid w:val="008C58FE"/>
    <w:rsid w:val="008C5D2E"/>
    <w:rsid w:val="008D0C28"/>
    <w:rsid w:val="008D373A"/>
    <w:rsid w:val="008D3C43"/>
    <w:rsid w:val="008D4640"/>
    <w:rsid w:val="008D507B"/>
    <w:rsid w:val="008D5AF8"/>
    <w:rsid w:val="008D6FAC"/>
    <w:rsid w:val="008E1C96"/>
    <w:rsid w:val="008E295B"/>
    <w:rsid w:val="008E2A50"/>
    <w:rsid w:val="008E2D97"/>
    <w:rsid w:val="008E2E51"/>
    <w:rsid w:val="008E3786"/>
    <w:rsid w:val="008E4FA2"/>
    <w:rsid w:val="008E595C"/>
    <w:rsid w:val="008E6AF5"/>
    <w:rsid w:val="008E790C"/>
    <w:rsid w:val="008E7AE7"/>
    <w:rsid w:val="008F043F"/>
    <w:rsid w:val="008F2743"/>
    <w:rsid w:val="008F2A6B"/>
    <w:rsid w:val="008F5AAD"/>
    <w:rsid w:val="008F60B9"/>
    <w:rsid w:val="008F6A4A"/>
    <w:rsid w:val="008F7735"/>
    <w:rsid w:val="008F7F4C"/>
    <w:rsid w:val="00901CBA"/>
    <w:rsid w:val="00901F74"/>
    <w:rsid w:val="00902E41"/>
    <w:rsid w:val="00905BBC"/>
    <w:rsid w:val="009067EB"/>
    <w:rsid w:val="00906EA0"/>
    <w:rsid w:val="00907B0A"/>
    <w:rsid w:val="009115C3"/>
    <w:rsid w:val="00912BA3"/>
    <w:rsid w:val="00912BE7"/>
    <w:rsid w:val="0091415A"/>
    <w:rsid w:val="00915E26"/>
    <w:rsid w:val="0091730C"/>
    <w:rsid w:val="0091756F"/>
    <w:rsid w:val="00917724"/>
    <w:rsid w:val="00917D3C"/>
    <w:rsid w:val="00917DCE"/>
    <w:rsid w:val="00920F98"/>
    <w:rsid w:val="0092151D"/>
    <w:rsid w:val="00921770"/>
    <w:rsid w:val="0092443C"/>
    <w:rsid w:val="0092583E"/>
    <w:rsid w:val="00926145"/>
    <w:rsid w:val="009268CE"/>
    <w:rsid w:val="00930D5F"/>
    <w:rsid w:val="00931541"/>
    <w:rsid w:val="009323A7"/>
    <w:rsid w:val="00932CC0"/>
    <w:rsid w:val="00932FF6"/>
    <w:rsid w:val="009330B0"/>
    <w:rsid w:val="00933ED6"/>
    <w:rsid w:val="009355B9"/>
    <w:rsid w:val="00936CBD"/>
    <w:rsid w:val="00937A4C"/>
    <w:rsid w:val="00941DBF"/>
    <w:rsid w:val="00941F06"/>
    <w:rsid w:val="00942EDA"/>
    <w:rsid w:val="00943A1C"/>
    <w:rsid w:val="00943CC3"/>
    <w:rsid w:val="00944E89"/>
    <w:rsid w:val="00947F6F"/>
    <w:rsid w:val="00950029"/>
    <w:rsid w:val="00950609"/>
    <w:rsid w:val="00950A2D"/>
    <w:rsid w:val="00951355"/>
    <w:rsid w:val="0095269A"/>
    <w:rsid w:val="00952E4E"/>
    <w:rsid w:val="0095369D"/>
    <w:rsid w:val="009552DF"/>
    <w:rsid w:val="00955DFC"/>
    <w:rsid w:val="00955ED1"/>
    <w:rsid w:val="00956148"/>
    <w:rsid w:val="009568AF"/>
    <w:rsid w:val="00957A1C"/>
    <w:rsid w:val="0096036C"/>
    <w:rsid w:val="00960AC3"/>
    <w:rsid w:val="00962BEB"/>
    <w:rsid w:val="009632F1"/>
    <w:rsid w:val="00966C23"/>
    <w:rsid w:val="00966FEE"/>
    <w:rsid w:val="00970181"/>
    <w:rsid w:val="009706AB"/>
    <w:rsid w:val="009722C1"/>
    <w:rsid w:val="00973F26"/>
    <w:rsid w:val="009745CD"/>
    <w:rsid w:val="00974F8E"/>
    <w:rsid w:val="0097561F"/>
    <w:rsid w:val="0097586D"/>
    <w:rsid w:val="00975888"/>
    <w:rsid w:val="00977309"/>
    <w:rsid w:val="009809AE"/>
    <w:rsid w:val="00980AC4"/>
    <w:rsid w:val="0098109E"/>
    <w:rsid w:val="00981412"/>
    <w:rsid w:val="00981C51"/>
    <w:rsid w:val="00984DC2"/>
    <w:rsid w:val="00985439"/>
    <w:rsid w:val="00986658"/>
    <w:rsid w:val="00986961"/>
    <w:rsid w:val="009874A9"/>
    <w:rsid w:val="009878A3"/>
    <w:rsid w:val="00987B79"/>
    <w:rsid w:val="0099075C"/>
    <w:rsid w:val="009915EB"/>
    <w:rsid w:val="00992BD0"/>
    <w:rsid w:val="0099321C"/>
    <w:rsid w:val="009954CD"/>
    <w:rsid w:val="009A01A7"/>
    <w:rsid w:val="009A0700"/>
    <w:rsid w:val="009A10E4"/>
    <w:rsid w:val="009A1782"/>
    <w:rsid w:val="009A20BA"/>
    <w:rsid w:val="009A2DF7"/>
    <w:rsid w:val="009A3034"/>
    <w:rsid w:val="009A3703"/>
    <w:rsid w:val="009A48F0"/>
    <w:rsid w:val="009A52F7"/>
    <w:rsid w:val="009A6487"/>
    <w:rsid w:val="009A71E0"/>
    <w:rsid w:val="009A72C1"/>
    <w:rsid w:val="009B0042"/>
    <w:rsid w:val="009B3C29"/>
    <w:rsid w:val="009B3FE4"/>
    <w:rsid w:val="009B4758"/>
    <w:rsid w:val="009B6429"/>
    <w:rsid w:val="009C01EF"/>
    <w:rsid w:val="009C10CF"/>
    <w:rsid w:val="009C19BE"/>
    <w:rsid w:val="009C2324"/>
    <w:rsid w:val="009C328B"/>
    <w:rsid w:val="009C3CF1"/>
    <w:rsid w:val="009C40E0"/>
    <w:rsid w:val="009C418C"/>
    <w:rsid w:val="009C4233"/>
    <w:rsid w:val="009C6152"/>
    <w:rsid w:val="009C61AD"/>
    <w:rsid w:val="009C640B"/>
    <w:rsid w:val="009C6661"/>
    <w:rsid w:val="009C677B"/>
    <w:rsid w:val="009D0469"/>
    <w:rsid w:val="009D1749"/>
    <w:rsid w:val="009D25CB"/>
    <w:rsid w:val="009D6141"/>
    <w:rsid w:val="009D7673"/>
    <w:rsid w:val="009D76D9"/>
    <w:rsid w:val="009E0C85"/>
    <w:rsid w:val="009E0DC0"/>
    <w:rsid w:val="009E11F8"/>
    <w:rsid w:val="009E12DF"/>
    <w:rsid w:val="009E2527"/>
    <w:rsid w:val="009E2C06"/>
    <w:rsid w:val="009E4E11"/>
    <w:rsid w:val="009E4FD3"/>
    <w:rsid w:val="009E5C5B"/>
    <w:rsid w:val="009E601B"/>
    <w:rsid w:val="009F0C43"/>
    <w:rsid w:val="009F15FE"/>
    <w:rsid w:val="009F349D"/>
    <w:rsid w:val="009F50EC"/>
    <w:rsid w:val="009F5853"/>
    <w:rsid w:val="009F6C2A"/>
    <w:rsid w:val="009F777D"/>
    <w:rsid w:val="009F7B80"/>
    <w:rsid w:val="009F7CC9"/>
    <w:rsid w:val="00A001DE"/>
    <w:rsid w:val="00A00D7B"/>
    <w:rsid w:val="00A01F9B"/>
    <w:rsid w:val="00A02C2D"/>
    <w:rsid w:val="00A03353"/>
    <w:rsid w:val="00A11077"/>
    <w:rsid w:val="00A12A2B"/>
    <w:rsid w:val="00A131A8"/>
    <w:rsid w:val="00A137E9"/>
    <w:rsid w:val="00A14B07"/>
    <w:rsid w:val="00A15280"/>
    <w:rsid w:val="00A155CF"/>
    <w:rsid w:val="00A1593D"/>
    <w:rsid w:val="00A16614"/>
    <w:rsid w:val="00A16913"/>
    <w:rsid w:val="00A17D98"/>
    <w:rsid w:val="00A217C2"/>
    <w:rsid w:val="00A22CFA"/>
    <w:rsid w:val="00A23568"/>
    <w:rsid w:val="00A23A0B"/>
    <w:rsid w:val="00A23A58"/>
    <w:rsid w:val="00A23E50"/>
    <w:rsid w:val="00A2418D"/>
    <w:rsid w:val="00A24753"/>
    <w:rsid w:val="00A24DED"/>
    <w:rsid w:val="00A25A30"/>
    <w:rsid w:val="00A26329"/>
    <w:rsid w:val="00A30CC7"/>
    <w:rsid w:val="00A34C6B"/>
    <w:rsid w:val="00A379BC"/>
    <w:rsid w:val="00A42044"/>
    <w:rsid w:val="00A42123"/>
    <w:rsid w:val="00A42D4F"/>
    <w:rsid w:val="00A43239"/>
    <w:rsid w:val="00A4408A"/>
    <w:rsid w:val="00A444A1"/>
    <w:rsid w:val="00A44F0B"/>
    <w:rsid w:val="00A45D50"/>
    <w:rsid w:val="00A45EA5"/>
    <w:rsid w:val="00A45FEF"/>
    <w:rsid w:val="00A46702"/>
    <w:rsid w:val="00A46A6F"/>
    <w:rsid w:val="00A46FDC"/>
    <w:rsid w:val="00A4770C"/>
    <w:rsid w:val="00A479D2"/>
    <w:rsid w:val="00A50071"/>
    <w:rsid w:val="00A5008D"/>
    <w:rsid w:val="00A50C03"/>
    <w:rsid w:val="00A5216D"/>
    <w:rsid w:val="00A52923"/>
    <w:rsid w:val="00A52D3E"/>
    <w:rsid w:val="00A539DB"/>
    <w:rsid w:val="00A5490A"/>
    <w:rsid w:val="00A550EC"/>
    <w:rsid w:val="00A55738"/>
    <w:rsid w:val="00A55B74"/>
    <w:rsid w:val="00A56162"/>
    <w:rsid w:val="00A57CC8"/>
    <w:rsid w:val="00A60740"/>
    <w:rsid w:val="00A60B3C"/>
    <w:rsid w:val="00A61307"/>
    <w:rsid w:val="00A62BA9"/>
    <w:rsid w:val="00A63C53"/>
    <w:rsid w:val="00A64FCE"/>
    <w:rsid w:val="00A64FD2"/>
    <w:rsid w:val="00A6596C"/>
    <w:rsid w:val="00A659B7"/>
    <w:rsid w:val="00A6673A"/>
    <w:rsid w:val="00A67BD8"/>
    <w:rsid w:val="00A67C7E"/>
    <w:rsid w:val="00A70FB0"/>
    <w:rsid w:val="00A71170"/>
    <w:rsid w:val="00A72E26"/>
    <w:rsid w:val="00A75D95"/>
    <w:rsid w:val="00A770A8"/>
    <w:rsid w:val="00A779DB"/>
    <w:rsid w:val="00A811A6"/>
    <w:rsid w:val="00A823C4"/>
    <w:rsid w:val="00A83A0B"/>
    <w:rsid w:val="00A83A22"/>
    <w:rsid w:val="00A87478"/>
    <w:rsid w:val="00A87E18"/>
    <w:rsid w:val="00A90098"/>
    <w:rsid w:val="00A90ED1"/>
    <w:rsid w:val="00A9153A"/>
    <w:rsid w:val="00A91990"/>
    <w:rsid w:val="00A91CBA"/>
    <w:rsid w:val="00A92DAB"/>
    <w:rsid w:val="00A9308C"/>
    <w:rsid w:val="00A934C6"/>
    <w:rsid w:val="00A94526"/>
    <w:rsid w:val="00A94877"/>
    <w:rsid w:val="00A951E1"/>
    <w:rsid w:val="00A95273"/>
    <w:rsid w:val="00A95311"/>
    <w:rsid w:val="00A96C98"/>
    <w:rsid w:val="00AA1080"/>
    <w:rsid w:val="00AA1330"/>
    <w:rsid w:val="00AA23B2"/>
    <w:rsid w:val="00AA2F9B"/>
    <w:rsid w:val="00AA3299"/>
    <w:rsid w:val="00AA5C2E"/>
    <w:rsid w:val="00AA5E36"/>
    <w:rsid w:val="00AA6B82"/>
    <w:rsid w:val="00AA7824"/>
    <w:rsid w:val="00AB0D63"/>
    <w:rsid w:val="00AB1FD9"/>
    <w:rsid w:val="00AB2CBC"/>
    <w:rsid w:val="00AB3689"/>
    <w:rsid w:val="00AB58A7"/>
    <w:rsid w:val="00AB76A6"/>
    <w:rsid w:val="00AC0D60"/>
    <w:rsid w:val="00AC1801"/>
    <w:rsid w:val="00AC202B"/>
    <w:rsid w:val="00AC3D19"/>
    <w:rsid w:val="00AC452E"/>
    <w:rsid w:val="00AC5657"/>
    <w:rsid w:val="00AC7E11"/>
    <w:rsid w:val="00AD043E"/>
    <w:rsid w:val="00AD17A5"/>
    <w:rsid w:val="00AD2DBC"/>
    <w:rsid w:val="00AD4013"/>
    <w:rsid w:val="00AD46BB"/>
    <w:rsid w:val="00AD4E6A"/>
    <w:rsid w:val="00AD4EA9"/>
    <w:rsid w:val="00AD5549"/>
    <w:rsid w:val="00AE0E74"/>
    <w:rsid w:val="00AE127E"/>
    <w:rsid w:val="00AE243C"/>
    <w:rsid w:val="00AE2908"/>
    <w:rsid w:val="00AE2A48"/>
    <w:rsid w:val="00AE3C2B"/>
    <w:rsid w:val="00AE4531"/>
    <w:rsid w:val="00AE7E51"/>
    <w:rsid w:val="00AF18C3"/>
    <w:rsid w:val="00AF32F8"/>
    <w:rsid w:val="00AF4EEB"/>
    <w:rsid w:val="00AF6A05"/>
    <w:rsid w:val="00AF6D89"/>
    <w:rsid w:val="00AF72B2"/>
    <w:rsid w:val="00AF74D7"/>
    <w:rsid w:val="00AF7708"/>
    <w:rsid w:val="00AF7872"/>
    <w:rsid w:val="00B00882"/>
    <w:rsid w:val="00B01958"/>
    <w:rsid w:val="00B02A6D"/>
    <w:rsid w:val="00B03E16"/>
    <w:rsid w:val="00B044A8"/>
    <w:rsid w:val="00B04729"/>
    <w:rsid w:val="00B049A6"/>
    <w:rsid w:val="00B055D5"/>
    <w:rsid w:val="00B0586F"/>
    <w:rsid w:val="00B067F4"/>
    <w:rsid w:val="00B06F49"/>
    <w:rsid w:val="00B07950"/>
    <w:rsid w:val="00B10995"/>
    <w:rsid w:val="00B10C94"/>
    <w:rsid w:val="00B110FB"/>
    <w:rsid w:val="00B1220B"/>
    <w:rsid w:val="00B122A3"/>
    <w:rsid w:val="00B13304"/>
    <w:rsid w:val="00B1397D"/>
    <w:rsid w:val="00B13E02"/>
    <w:rsid w:val="00B1415C"/>
    <w:rsid w:val="00B152E9"/>
    <w:rsid w:val="00B1715A"/>
    <w:rsid w:val="00B204EB"/>
    <w:rsid w:val="00B20D50"/>
    <w:rsid w:val="00B20DB7"/>
    <w:rsid w:val="00B2201F"/>
    <w:rsid w:val="00B2300E"/>
    <w:rsid w:val="00B23D2B"/>
    <w:rsid w:val="00B24606"/>
    <w:rsid w:val="00B26624"/>
    <w:rsid w:val="00B2679D"/>
    <w:rsid w:val="00B269CD"/>
    <w:rsid w:val="00B27DDF"/>
    <w:rsid w:val="00B31B53"/>
    <w:rsid w:val="00B31CDF"/>
    <w:rsid w:val="00B32641"/>
    <w:rsid w:val="00B3267A"/>
    <w:rsid w:val="00B333DD"/>
    <w:rsid w:val="00B33D91"/>
    <w:rsid w:val="00B346E7"/>
    <w:rsid w:val="00B363DA"/>
    <w:rsid w:val="00B37498"/>
    <w:rsid w:val="00B40F52"/>
    <w:rsid w:val="00B41FA0"/>
    <w:rsid w:val="00B423CD"/>
    <w:rsid w:val="00B43114"/>
    <w:rsid w:val="00B4646F"/>
    <w:rsid w:val="00B4767A"/>
    <w:rsid w:val="00B47A8C"/>
    <w:rsid w:val="00B47E7C"/>
    <w:rsid w:val="00B5210F"/>
    <w:rsid w:val="00B53776"/>
    <w:rsid w:val="00B5438B"/>
    <w:rsid w:val="00B54793"/>
    <w:rsid w:val="00B55A54"/>
    <w:rsid w:val="00B56072"/>
    <w:rsid w:val="00B60344"/>
    <w:rsid w:val="00B60512"/>
    <w:rsid w:val="00B61310"/>
    <w:rsid w:val="00B61B97"/>
    <w:rsid w:val="00B61C8B"/>
    <w:rsid w:val="00B61CE3"/>
    <w:rsid w:val="00B63D17"/>
    <w:rsid w:val="00B64041"/>
    <w:rsid w:val="00B65EB3"/>
    <w:rsid w:val="00B677A9"/>
    <w:rsid w:val="00B70F9F"/>
    <w:rsid w:val="00B7199B"/>
    <w:rsid w:val="00B72D4C"/>
    <w:rsid w:val="00B73035"/>
    <w:rsid w:val="00B73039"/>
    <w:rsid w:val="00B733CA"/>
    <w:rsid w:val="00B73EDC"/>
    <w:rsid w:val="00B74A5B"/>
    <w:rsid w:val="00B74D4D"/>
    <w:rsid w:val="00B75668"/>
    <w:rsid w:val="00B7610B"/>
    <w:rsid w:val="00B7636A"/>
    <w:rsid w:val="00B77022"/>
    <w:rsid w:val="00B77F6A"/>
    <w:rsid w:val="00B81989"/>
    <w:rsid w:val="00B82E98"/>
    <w:rsid w:val="00B83EFE"/>
    <w:rsid w:val="00B83F4E"/>
    <w:rsid w:val="00B84485"/>
    <w:rsid w:val="00B865AA"/>
    <w:rsid w:val="00B86CF1"/>
    <w:rsid w:val="00B872CA"/>
    <w:rsid w:val="00B87507"/>
    <w:rsid w:val="00B9123D"/>
    <w:rsid w:val="00B93B93"/>
    <w:rsid w:val="00B94126"/>
    <w:rsid w:val="00B94444"/>
    <w:rsid w:val="00B966CC"/>
    <w:rsid w:val="00B96F72"/>
    <w:rsid w:val="00B97EA4"/>
    <w:rsid w:val="00B97F14"/>
    <w:rsid w:val="00BA0E66"/>
    <w:rsid w:val="00BA21BD"/>
    <w:rsid w:val="00BA295F"/>
    <w:rsid w:val="00BA2EEC"/>
    <w:rsid w:val="00BA3BDB"/>
    <w:rsid w:val="00BA3D8D"/>
    <w:rsid w:val="00BA512B"/>
    <w:rsid w:val="00BA52B6"/>
    <w:rsid w:val="00BA6479"/>
    <w:rsid w:val="00BA6588"/>
    <w:rsid w:val="00BB077C"/>
    <w:rsid w:val="00BB0E18"/>
    <w:rsid w:val="00BB1D17"/>
    <w:rsid w:val="00BB3B9E"/>
    <w:rsid w:val="00BB483C"/>
    <w:rsid w:val="00BB4B34"/>
    <w:rsid w:val="00BB4DBD"/>
    <w:rsid w:val="00BB53A5"/>
    <w:rsid w:val="00BB57AF"/>
    <w:rsid w:val="00BC05C5"/>
    <w:rsid w:val="00BC214A"/>
    <w:rsid w:val="00BC2388"/>
    <w:rsid w:val="00BC32FB"/>
    <w:rsid w:val="00BC3F2C"/>
    <w:rsid w:val="00BC4A8E"/>
    <w:rsid w:val="00BC590A"/>
    <w:rsid w:val="00BC5D2D"/>
    <w:rsid w:val="00BC5E72"/>
    <w:rsid w:val="00BC660C"/>
    <w:rsid w:val="00BC686C"/>
    <w:rsid w:val="00BC6A50"/>
    <w:rsid w:val="00BC7970"/>
    <w:rsid w:val="00BD15EF"/>
    <w:rsid w:val="00BD1E4E"/>
    <w:rsid w:val="00BD24BA"/>
    <w:rsid w:val="00BD6E3B"/>
    <w:rsid w:val="00BE0AE4"/>
    <w:rsid w:val="00BE1494"/>
    <w:rsid w:val="00BE173F"/>
    <w:rsid w:val="00BE1C89"/>
    <w:rsid w:val="00BE1CF5"/>
    <w:rsid w:val="00BE2050"/>
    <w:rsid w:val="00BE2778"/>
    <w:rsid w:val="00BE2E9B"/>
    <w:rsid w:val="00BE505F"/>
    <w:rsid w:val="00BE5626"/>
    <w:rsid w:val="00BE6595"/>
    <w:rsid w:val="00BF0068"/>
    <w:rsid w:val="00BF45AB"/>
    <w:rsid w:val="00BF4670"/>
    <w:rsid w:val="00BF4C55"/>
    <w:rsid w:val="00BF4FAE"/>
    <w:rsid w:val="00BF58EA"/>
    <w:rsid w:val="00BF6B07"/>
    <w:rsid w:val="00BF755D"/>
    <w:rsid w:val="00BF7F3D"/>
    <w:rsid w:val="00C002B5"/>
    <w:rsid w:val="00C00368"/>
    <w:rsid w:val="00C00D79"/>
    <w:rsid w:val="00C02F88"/>
    <w:rsid w:val="00C053CD"/>
    <w:rsid w:val="00C07AF6"/>
    <w:rsid w:val="00C100E0"/>
    <w:rsid w:val="00C1068D"/>
    <w:rsid w:val="00C11272"/>
    <w:rsid w:val="00C12879"/>
    <w:rsid w:val="00C1433E"/>
    <w:rsid w:val="00C167D0"/>
    <w:rsid w:val="00C178F3"/>
    <w:rsid w:val="00C21653"/>
    <w:rsid w:val="00C24566"/>
    <w:rsid w:val="00C24DD9"/>
    <w:rsid w:val="00C25150"/>
    <w:rsid w:val="00C25BE0"/>
    <w:rsid w:val="00C25C9B"/>
    <w:rsid w:val="00C26BF8"/>
    <w:rsid w:val="00C26F97"/>
    <w:rsid w:val="00C271B7"/>
    <w:rsid w:val="00C301DA"/>
    <w:rsid w:val="00C30505"/>
    <w:rsid w:val="00C30AC1"/>
    <w:rsid w:val="00C325D9"/>
    <w:rsid w:val="00C32A9A"/>
    <w:rsid w:val="00C3392F"/>
    <w:rsid w:val="00C408E7"/>
    <w:rsid w:val="00C42F00"/>
    <w:rsid w:val="00C43447"/>
    <w:rsid w:val="00C45A95"/>
    <w:rsid w:val="00C51C3A"/>
    <w:rsid w:val="00C52F01"/>
    <w:rsid w:val="00C532F4"/>
    <w:rsid w:val="00C53C61"/>
    <w:rsid w:val="00C55661"/>
    <w:rsid w:val="00C60006"/>
    <w:rsid w:val="00C60803"/>
    <w:rsid w:val="00C6103D"/>
    <w:rsid w:val="00C625C1"/>
    <w:rsid w:val="00C62EA3"/>
    <w:rsid w:val="00C6538D"/>
    <w:rsid w:val="00C65FCD"/>
    <w:rsid w:val="00C66158"/>
    <w:rsid w:val="00C67A7A"/>
    <w:rsid w:val="00C71627"/>
    <w:rsid w:val="00C71743"/>
    <w:rsid w:val="00C720FF"/>
    <w:rsid w:val="00C72B71"/>
    <w:rsid w:val="00C72D40"/>
    <w:rsid w:val="00C73580"/>
    <w:rsid w:val="00C73881"/>
    <w:rsid w:val="00C73F58"/>
    <w:rsid w:val="00C74D4E"/>
    <w:rsid w:val="00C74FBE"/>
    <w:rsid w:val="00C75A63"/>
    <w:rsid w:val="00C76F94"/>
    <w:rsid w:val="00C812C7"/>
    <w:rsid w:val="00C82BAF"/>
    <w:rsid w:val="00C8326B"/>
    <w:rsid w:val="00C8428B"/>
    <w:rsid w:val="00C84552"/>
    <w:rsid w:val="00C87B50"/>
    <w:rsid w:val="00C90A26"/>
    <w:rsid w:val="00C90CE0"/>
    <w:rsid w:val="00C91F54"/>
    <w:rsid w:val="00C92B9F"/>
    <w:rsid w:val="00C9312C"/>
    <w:rsid w:val="00C93D57"/>
    <w:rsid w:val="00C95DA0"/>
    <w:rsid w:val="00C960C6"/>
    <w:rsid w:val="00C96D39"/>
    <w:rsid w:val="00CA0A8E"/>
    <w:rsid w:val="00CA1308"/>
    <w:rsid w:val="00CA5E01"/>
    <w:rsid w:val="00CA61AC"/>
    <w:rsid w:val="00CB1118"/>
    <w:rsid w:val="00CB2DB7"/>
    <w:rsid w:val="00CB33DC"/>
    <w:rsid w:val="00CB38E1"/>
    <w:rsid w:val="00CB4F3A"/>
    <w:rsid w:val="00CB5659"/>
    <w:rsid w:val="00CB5A6C"/>
    <w:rsid w:val="00CB5B5C"/>
    <w:rsid w:val="00CB790E"/>
    <w:rsid w:val="00CC0606"/>
    <w:rsid w:val="00CC13EB"/>
    <w:rsid w:val="00CC2A7E"/>
    <w:rsid w:val="00CC4153"/>
    <w:rsid w:val="00CC5EE5"/>
    <w:rsid w:val="00CC7039"/>
    <w:rsid w:val="00CD0DCA"/>
    <w:rsid w:val="00CD44CB"/>
    <w:rsid w:val="00CD4DBB"/>
    <w:rsid w:val="00CD5931"/>
    <w:rsid w:val="00CD5E7B"/>
    <w:rsid w:val="00CD6925"/>
    <w:rsid w:val="00CE2367"/>
    <w:rsid w:val="00CE41A4"/>
    <w:rsid w:val="00CE48FD"/>
    <w:rsid w:val="00CE6120"/>
    <w:rsid w:val="00CE6163"/>
    <w:rsid w:val="00CE72A5"/>
    <w:rsid w:val="00CF0D4A"/>
    <w:rsid w:val="00CF104A"/>
    <w:rsid w:val="00CF1499"/>
    <w:rsid w:val="00CF341E"/>
    <w:rsid w:val="00CF4031"/>
    <w:rsid w:val="00CF5701"/>
    <w:rsid w:val="00CF625E"/>
    <w:rsid w:val="00D00A84"/>
    <w:rsid w:val="00D017D1"/>
    <w:rsid w:val="00D01B12"/>
    <w:rsid w:val="00D01C04"/>
    <w:rsid w:val="00D01CFC"/>
    <w:rsid w:val="00D02992"/>
    <w:rsid w:val="00D03AD7"/>
    <w:rsid w:val="00D040C3"/>
    <w:rsid w:val="00D0412F"/>
    <w:rsid w:val="00D041BA"/>
    <w:rsid w:val="00D04A87"/>
    <w:rsid w:val="00D0538D"/>
    <w:rsid w:val="00D05C0D"/>
    <w:rsid w:val="00D10424"/>
    <w:rsid w:val="00D12879"/>
    <w:rsid w:val="00D1304C"/>
    <w:rsid w:val="00D13574"/>
    <w:rsid w:val="00D13953"/>
    <w:rsid w:val="00D13D75"/>
    <w:rsid w:val="00D15B15"/>
    <w:rsid w:val="00D16093"/>
    <w:rsid w:val="00D165B6"/>
    <w:rsid w:val="00D16A01"/>
    <w:rsid w:val="00D171A0"/>
    <w:rsid w:val="00D2005B"/>
    <w:rsid w:val="00D20596"/>
    <w:rsid w:val="00D20B98"/>
    <w:rsid w:val="00D20C15"/>
    <w:rsid w:val="00D2322C"/>
    <w:rsid w:val="00D24107"/>
    <w:rsid w:val="00D241CD"/>
    <w:rsid w:val="00D245D1"/>
    <w:rsid w:val="00D24F3B"/>
    <w:rsid w:val="00D25718"/>
    <w:rsid w:val="00D26ABA"/>
    <w:rsid w:val="00D3030D"/>
    <w:rsid w:val="00D3044A"/>
    <w:rsid w:val="00D3049C"/>
    <w:rsid w:val="00D335D7"/>
    <w:rsid w:val="00D337DB"/>
    <w:rsid w:val="00D3640F"/>
    <w:rsid w:val="00D376D6"/>
    <w:rsid w:val="00D37B46"/>
    <w:rsid w:val="00D40C1A"/>
    <w:rsid w:val="00D41C94"/>
    <w:rsid w:val="00D4442B"/>
    <w:rsid w:val="00D4468B"/>
    <w:rsid w:val="00D44E8B"/>
    <w:rsid w:val="00D44F78"/>
    <w:rsid w:val="00D46350"/>
    <w:rsid w:val="00D47D18"/>
    <w:rsid w:val="00D50CA5"/>
    <w:rsid w:val="00D53591"/>
    <w:rsid w:val="00D53801"/>
    <w:rsid w:val="00D53A54"/>
    <w:rsid w:val="00D53B7D"/>
    <w:rsid w:val="00D53EF6"/>
    <w:rsid w:val="00D54810"/>
    <w:rsid w:val="00D56E91"/>
    <w:rsid w:val="00D5724B"/>
    <w:rsid w:val="00D57771"/>
    <w:rsid w:val="00D60885"/>
    <w:rsid w:val="00D61EF4"/>
    <w:rsid w:val="00D636E1"/>
    <w:rsid w:val="00D64231"/>
    <w:rsid w:val="00D64B29"/>
    <w:rsid w:val="00D666E8"/>
    <w:rsid w:val="00D6677D"/>
    <w:rsid w:val="00D66C3B"/>
    <w:rsid w:val="00D702E2"/>
    <w:rsid w:val="00D70826"/>
    <w:rsid w:val="00D714F4"/>
    <w:rsid w:val="00D71505"/>
    <w:rsid w:val="00D72FCB"/>
    <w:rsid w:val="00D7338B"/>
    <w:rsid w:val="00D758AF"/>
    <w:rsid w:val="00D778C5"/>
    <w:rsid w:val="00D8016F"/>
    <w:rsid w:val="00D85818"/>
    <w:rsid w:val="00D85A4E"/>
    <w:rsid w:val="00D9080B"/>
    <w:rsid w:val="00D916E1"/>
    <w:rsid w:val="00D91814"/>
    <w:rsid w:val="00D91C32"/>
    <w:rsid w:val="00D92B6A"/>
    <w:rsid w:val="00D92C3B"/>
    <w:rsid w:val="00D936E8"/>
    <w:rsid w:val="00D93C9D"/>
    <w:rsid w:val="00D94393"/>
    <w:rsid w:val="00D95C86"/>
    <w:rsid w:val="00D96AC9"/>
    <w:rsid w:val="00DA00A9"/>
    <w:rsid w:val="00DA26AA"/>
    <w:rsid w:val="00DA3054"/>
    <w:rsid w:val="00DA337E"/>
    <w:rsid w:val="00DA467A"/>
    <w:rsid w:val="00DA4EFF"/>
    <w:rsid w:val="00DA5065"/>
    <w:rsid w:val="00DA6A5A"/>
    <w:rsid w:val="00DA6BE7"/>
    <w:rsid w:val="00DA7218"/>
    <w:rsid w:val="00DB19DD"/>
    <w:rsid w:val="00DB2268"/>
    <w:rsid w:val="00DB22EA"/>
    <w:rsid w:val="00DB3ADF"/>
    <w:rsid w:val="00DB40E1"/>
    <w:rsid w:val="00DB4D42"/>
    <w:rsid w:val="00DB69CD"/>
    <w:rsid w:val="00DB7A17"/>
    <w:rsid w:val="00DC058F"/>
    <w:rsid w:val="00DC486B"/>
    <w:rsid w:val="00DC4EAE"/>
    <w:rsid w:val="00DC5F58"/>
    <w:rsid w:val="00DC68EE"/>
    <w:rsid w:val="00DD0446"/>
    <w:rsid w:val="00DD0C7E"/>
    <w:rsid w:val="00DD0FF0"/>
    <w:rsid w:val="00DD3EA1"/>
    <w:rsid w:val="00DD4CDA"/>
    <w:rsid w:val="00DD511C"/>
    <w:rsid w:val="00DD535F"/>
    <w:rsid w:val="00DD7ADB"/>
    <w:rsid w:val="00DE09BC"/>
    <w:rsid w:val="00DE0CD4"/>
    <w:rsid w:val="00DE17D3"/>
    <w:rsid w:val="00DE1E8F"/>
    <w:rsid w:val="00DE3292"/>
    <w:rsid w:val="00DE3A98"/>
    <w:rsid w:val="00DE4784"/>
    <w:rsid w:val="00DE4C5C"/>
    <w:rsid w:val="00DF1502"/>
    <w:rsid w:val="00DF1920"/>
    <w:rsid w:val="00DF2303"/>
    <w:rsid w:val="00DF40F0"/>
    <w:rsid w:val="00DF5A2F"/>
    <w:rsid w:val="00DF5EE8"/>
    <w:rsid w:val="00DF62C0"/>
    <w:rsid w:val="00DF6545"/>
    <w:rsid w:val="00DF792F"/>
    <w:rsid w:val="00DF7A48"/>
    <w:rsid w:val="00E01AD5"/>
    <w:rsid w:val="00E04C38"/>
    <w:rsid w:val="00E064B9"/>
    <w:rsid w:val="00E07D7D"/>
    <w:rsid w:val="00E07EF0"/>
    <w:rsid w:val="00E1027B"/>
    <w:rsid w:val="00E10775"/>
    <w:rsid w:val="00E11F35"/>
    <w:rsid w:val="00E16BE0"/>
    <w:rsid w:val="00E171F7"/>
    <w:rsid w:val="00E17BF5"/>
    <w:rsid w:val="00E20892"/>
    <w:rsid w:val="00E208DE"/>
    <w:rsid w:val="00E20981"/>
    <w:rsid w:val="00E209D0"/>
    <w:rsid w:val="00E21CA4"/>
    <w:rsid w:val="00E2220A"/>
    <w:rsid w:val="00E22F93"/>
    <w:rsid w:val="00E233E9"/>
    <w:rsid w:val="00E2457E"/>
    <w:rsid w:val="00E24B18"/>
    <w:rsid w:val="00E2508E"/>
    <w:rsid w:val="00E25AB3"/>
    <w:rsid w:val="00E26EBE"/>
    <w:rsid w:val="00E27B44"/>
    <w:rsid w:val="00E30A72"/>
    <w:rsid w:val="00E30C86"/>
    <w:rsid w:val="00E32B6F"/>
    <w:rsid w:val="00E33E3F"/>
    <w:rsid w:val="00E33FD8"/>
    <w:rsid w:val="00E34370"/>
    <w:rsid w:val="00E34519"/>
    <w:rsid w:val="00E34FF2"/>
    <w:rsid w:val="00E357F4"/>
    <w:rsid w:val="00E35D11"/>
    <w:rsid w:val="00E363EA"/>
    <w:rsid w:val="00E36986"/>
    <w:rsid w:val="00E42ACA"/>
    <w:rsid w:val="00E449A3"/>
    <w:rsid w:val="00E44A3C"/>
    <w:rsid w:val="00E45DD3"/>
    <w:rsid w:val="00E4641E"/>
    <w:rsid w:val="00E464A6"/>
    <w:rsid w:val="00E46C78"/>
    <w:rsid w:val="00E4744A"/>
    <w:rsid w:val="00E47BD2"/>
    <w:rsid w:val="00E512F4"/>
    <w:rsid w:val="00E52A15"/>
    <w:rsid w:val="00E539BE"/>
    <w:rsid w:val="00E54597"/>
    <w:rsid w:val="00E56E88"/>
    <w:rsid w:val="00E57024"/>
    <w:rsid w:val="00E61501"/>
    <w:rsid w:val="00E62450"/>
    <w:rsid w:val="00E64C19"/>
    <w:rsid w:val="00E66404"/>
    <w:rsid w:val="00E67CE2"/>
    <w:rsid w:val="00E70E0A"/>
    <w:rsid w:val="00E71B02"/>
    <w:rsid w:val="00E71F8C"/>
    <w:rsid w:val="00E7217A"/>
    <w:rsid w:val="00E724F9"/>
    <w:rsid w:val="00E735CD"/>
    <w:rsid w:val="00E73C7B"/>
    <w:rsid w:val="00E750C4"/>
    <w:rsid w:val="00E75822"/>
    <w:rsid w:val="00E75C68"/>
    <w:rsid w:val="00E77095"/>
    <w:rsid w:val="00E80595"/>
    <w:rsid w:val="00E80FFE"/>
    <w:rsid w:val="00E817A3"/>
    <w:rsid w:val="00E8473F"/>
    <w:rsid w:val="00E84B5B"/>
    <w:rsid w:val="00E86989"/>
    <w:rsid w:val="00E86AAE"/>
    <w:rsid w:val="00E87017"/>
    <w:rsid w:val="00E87AE6"/>
    <w:rsid w:val="00E87DBD"/>
    <w:rsid w:val="00E90BB6"/>
    <w:rsid w:val="00E90C19"/>
    <w:rsid w:val="00E90D99"/>
    <w:rsid w:val="00E91363"/>
    <w:rsid w:val="00E91705"/>
    <w:rsid w:val="00E92143"/>
    <w:rsid w:val="00E92369"/>
    <w:rsid w:val="00E94A43"/>
    <w:rsid w:val="00E95C8A"/>
    <w:rsid w:val="00EA0467"/>
    <w:rsid w:val="00EA18D8"/>
    <w:rsid w:val="00EA24AC"/>
    <w:rsid w:val="00EA3BE5"/>
    <w:rsid w:val="00EA3D60"/>
    <w:rsid w:val="00EA4583"/>
    <w:rsid w:val="00EA4A96"/>
    <w:rsid w:val="00EA5E99"/>
    <w:rsid w:val="00EA5ECC"/>
    <w:rsid w:val="00EA65E6"/>
    <w:rsid w:val="00EA7786"/>
    <w:rsid w:val="00EA7A19"/>
    <w:rsid w:val="00EA7A70"/>
    <w:rsid w:val="00EB02B4"/>
    <w:rsid w:val="00EB1037"/>
    <w:rsid w:val="00EB1953"/>
    <w:rsid w:val="00EB3B00"/>
    <w:rsid w:val="00EB5E22"/>
    <w:rsid w:val="00EB66DD"/>
    <w:rsid w:val="00EB6CB2"/>
    <w:rsid w:val="00EB7E3D"/>
    <w:rsid w:val="00EC0293"/>
    <w:rsid w:val="00EC232D"/>
    <w:rsid w:val="00EC3635"/>
    <w:rsid w:val="00EC3E3A"/>
    <w:rsid w:val="00EC3F04"/>
    <w:rsid w:val="00EC41E7"/>
    <w:rsid w:val="00EC44E8"/>
    <w:rsid w:val="00EC4BD1"/>
    <w:rsid w:val="00EC4E3E"/>
    <w:rsid w:val="00EC5954"/>
    <w:rsid w:val="00EC5BD0"/>
    <w:rsid w:val="00EC70CE"/>
    <w:rsid w:val="00EC7235"/>
    <w:rsid w:val="00ED044E"/>
    <w:rsid w:val="00ED43F1"/>
    <w:rsid w:val="00ED55B4"/>
    <w:rsid w:val="00ED5645"/>
    <w:rsid w:val="00EE06EF"/>
    <w:rsid w:val="00EE1D12"/>
    <w:rsid w:val="00EE39B6"/>
    <w:rsid w:val="00EE4F24"/>
    <w:rsid w:val="00EE672E"/>
    <w:rsid w:val="00EF0936"/>
    <w:rsid w:val="00EF2963"/>
    <w:rsid w:val="00EF2B41"/>
    <w:rsid w:val="00EF52ED"/>
    <w:rsid w:val="00EF5A02"/>
    <w:rsid w:val="00F000B2"/>
    <w:rsid w:val="00F007F0"/>
    <w:rsid w:val="00F019A7"/>
    <w:rsid w:val="00F0229E"/>
    <w:rsid w:val="00F058F4"/>
    <w:rsid w:val="00F05A0F"/>
    <w:rsid w:val="00F05BCA"/>
    <w:rsid w:val="00F05C08"/>
    <w:rsid w:val="00F06DEC"/>
    <w:rsid w:val="00F06FD6"/>
    <w:rsid w:val="00F075EB"/>
    <w:rsid w:val="00F0776C"/>
    <w:rsid w:val="00F07A80"/>
    <w:rsid w:val="00F1055A"/>
    <w:rsid w:val="00F10595"/>
    <w:rsid w:val="00F11BD2"/>
    <w:rsid w:val="00F11F62"/>
    <w:rsid w:val="00F11FDE"/>
    <w:rsid w:val="00F120FC"/>
    <w:rsid w:val="00F12687"/>
    <w:rsid w:val="00F136E7"/>
    <w:rsid w:val="00F13B76"/>
    <w:rsid w:val="00F14AC9"/>
    <w:rsid w:val="00F153E6"/>
    <w:rsid w:val="00F1585E"/>
    <w:rsid w:val="00F16844"/>
    <w:rsid w:val="00F16CE2"/>
    <w:rsid w:val="00F205A6"/>
    <w:rsid w:val="00F216BB"/>
    <w:rsid w:val="00F22BAE"/>
    <w:rsid w:val="00F23343"/>
    <w:rsid w:val="00F23762"/>
    <w:rsid w:val="00F23C33"/>
    <w:rsid w:val="00F25430"/>
    <w:rsid w:val="00F270F3"/>
    <w:rsid w:val="00F2794B"/>
    <w:rsid w:val="00F3037C"/>
    <w:rsid w:val="00F3058A"/>
    <w:rsid w:val="00F308AF"/>
    <w:rsid w:val="00F313CD"/>
    <w:rsid w:val="00F320DF"/>
    <w:rsid w:val="00F34060"/>
    <w:rsid w:val="00F35861"/>
    <w:rsid w:val="00F369A9"/>
    <w:rsid w:val="00F37AF4"/>
    <w:rsid w:val="00F40109"/>
    <w:rsid w:val="00F41DC9"/>
    <w:rsid w:val="00F43AE8"/>
    <w:rsid w:val="00F44042"/>
    <w:rsid w:val="00F448FE"/>
    <w:rsid w:val="00F453E8"/>
    <w:rsid w:val="00F46464"/>
    <w:rsid w:val="00F4671D"/>
    <w:rsid w:val="00F47072"/>
    <w:rsid w:val="00F4775B"/>
    <w:rsid w:val="00F51D40"/>
    <w:rsid w:val="00F51F9D"/>
    <w:rsid w:val="00F53073"/>
    <w:rsid w:val="00F534CB"/>
    <w:rsid w:val="00F54128"/>
    <w:rsid w:val="00F54A6B"/>
    <w:rsid w:val="00F568FF"/>
    <w:rsid w:val="00F5714A"/>
    <w:rsid w:val="00F579E7"/>
    <w:rsid w:val="00F57D02"/>
    <w:rsid w:val="00F57E43"/>
    <w:rsid w:val="00F57F7A"/>
    <w:rsid w:val="00F60D4F"/>
    <w:rsid w:val="00F6135A"/>
    <w:rsid w:val="00F618AC"/>
    <w:rsid w:val="00F62783"/>
    <w:rsid w:val="00F63163"/>
    <w:rsid w:val="00F63BD3"/>
    <w:rsid w:val="00F63FB2"/>
    <w:rsid w:val="00F64CAD"/>
    <w:rsid w:val="00F65157"/>
    <w:rsid w:val="00F65E04"/>
    <w:rsid w:val="00F669E4"/>
    <w:rsid w:val="00F67A63"/>
    <w:rsid w:val="00F71C33"/>
    <w:rsid w:val="00F730A2"/>
    <w:rsid w:val="00F736D5"/>
    <w:rsid w:val="00F750E0"/>
    <w:rsid w:val="00F76988"/>
    <w:rsid w:val="00F76E90"/>
    <w:rsid w:val="00F77942"/>
    <w:rsid w:val="00F77B82"/>
    <w:rsid w:val="00F80DF3"/>
    <w:rsid w:val="00F81A05"/>
    <w:rsid w:val="00F82647"/>
    <w:rsid w:val="00F8377F"/>
    <w:rsid w:val="00F83AF0"/>
    <w:rsid w:val="00F83DE6"/>
    <w:rsid w:val="00F856A5"/>
    <w:rsid w:val="00F86556"/>
    <w:rsid w:val="00F866B5"/>
    <w:rsid w:val="00F869C2"/>
    <w:rsid w:val="00F86DB1"/>
    <w:rsid w:val="00F91823"/>
    <w:rsid w:val="00F938A9"/>
    <w:rsid w:val="00F95229"/>
    <w:rsid w:val="00F96AB3"/>
    <w:rsid w:val="00F96B98"/>
    <w:rsid w:val="00FA0876"/>
    <w:rsid w:val="00FA10D9"/>
    <w:rsid w:val="00FA2D36"/>
    <w:rsid w:val="00FA33AA"/>
    <w:rsid w:val="00FA3EE7"/>
    <w:rsid w:val="00FA4ECF"/>
    <w:rsid w:val="00FA66B4"/>
    <w:rsid w:val="00FA70E4"/>
    <w:rsid w:val="00FB04AA"/>
    <w:rsid w:val="00FB0BE9"/>
    <w:rsid w:val="00FB155F"/>
    <w:rsid w:val="00FB1E03"/>
    <w:rsid w:val="00FB2272"/>
    <w:rsid w:val="00FB3680"/>
    <w:rsid w:val="00FB541D"/>
    <w:rsid w:val="00FB5774"/>
    <w:rsid w:val="00FB6B45"/>
    <w:rsid w:val="00FB79EC"/>
    <w:rsid w:val="00FC1928"/>
    <w:rsid w:val="00FC1B07"/>
    <w:rsid w:val="00FC1FE5"/>
    <w:rsid w:val="00FC2143"/>
    <w:rsid w:val="00FC2522"/>
    <w:rsid w:val="00FC29DF"/>
    <w:rsid w:val="00FC2CF2"/>
    <w:rsid w:val="00FC2E69"/>
    <w:rsid w:val="00FC3301"/>
    <w:rsid w:val="00FC39F0"/>
    <w:rsid w:val="00FC46E7"/>
    <w:rsid w:val="00FC4CA5"/>
    <w:rsid w:val="00FC50DE"/>
    <w:rsid w:val="00FC52A8"/>
    <w:rsid w:val="00FC53F7"/>
    <w:rsid w:val="00FC712E"/>
    <w:rsid w:val="00FC7F8E"/>
    <w:rsid w:val="00FD0A1C"/>
    <w:rsid w:val="00FD3614"/>
    <w:rsid w:val="00FD5E24"/>
    <w:rsid w:val="00FD70AD"/>
    <w:rsid w:val="00FE2663"/>
    <w:rsid w:val="00FE3466"/>
    <w:rsid w:val="00FE4059"/>
    <w:rsid w:val="00FE48F4"/>
    <w:rsid w:val="00FE5075"/>
    <w:rsid w:val="00FE5AFF"/>
    <w:rsid w:val="00FE5B01"/>
    <w:rsid w:val="00FE5C6A"/>
    <w:rsid w:val="00FE5F90"/>
    <w:rsid w:val="00FE5FF3"/>
    <w:rsid w:val="00FF1E6C"/>
    <w:rsid w:val="00FF4351"/>
    <w:rsid w:val="00FF4543"/>
    <w:rsid w:val="00FF4557"/>
    <w:rsid w:val="00FF4BCA"/>
    <w:rsid w:val="00FF5A2E"/>
    <w:rsid w:val="00FF6353"/>
    <w:rsid w:val="00FF72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9F133FF9-8623-42C4-8311-F665AD52B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044A"/>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DA5065"/>
    <w:pPr>
      <w:spacing w:after="120" w:line="288" w:lineRule="atLeast"/>
      <w:outlineLvl w:val="0"/>
    </w:pPr>
    <w:rPr>
      <w:b/>
      <w:bCs/>
      <w:color w:val="000000"/>
      <w:kern w:val="36"/>
      <w:sz w:val="50"/>
      <w:szCs w:val="50"/>
      <w:lang w:eastAsia="en-GB"/>
    </w:rPr>
  </w:style>
  <w:style w:type="paragraph" w:styleId="Heading2">
    <w:name w:val="heading 2"/>
    <w:basedOn w:val="Normal"/>
    <w:next w:val="Normal"/>
    <w:link w:val="Heading2Char"/>
    <w:uiPriority w:val="9"/>
    <w:unhideWhenUsed/>
    <w:qFormat/>
    <w:rsid w:val="00AE3C2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4959BA"/>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5065"/>
    <w:rPr>
      <w:rFonts w:ascii="Times New Roman" w:eastAsia="Times New Roman" w:hAnsi="Times New Roman" w:cs="Times New Roman"/>
      <w:b/>
      <w:bCs/>
      <w:color w:val="000000"/>
      <w:kern w:val="36"/>
      <w:sz w:val="50"/>
      <w:szCs w:val="50"/>
      <w:lang w:eastAsia="en-GB"/>
    </w:rPr>
  </w:style>
  <w:style w:type="character" w:customStyle="1" w:styleId="Heading2Char">
    <w:name w:val="Heading 2 Char"/>
    <w:basedOn w:val="DefaultParagraphFont"/>
    <w:link w:val="Heading2"/>
    <w:uiPriority w:val="9"/>
    <w:rsid w:val="00AE3C2B"/>
    <w:rPr>
      <w:rFonts w:asciiTheme="majorHAnsi" w:eastAsiaTheme="majorEastAsia" w:hAnsiTheme="majorHAnsi" w:cstheme="majorBidi"/>
      <w:color w:val="365F91" w:themeColor="accent1" w:themeShade="BF"/>
      <w:sz w:val="26"/>
      <w:szCs w:val="26"/>
    </w:rPr>
  </w:style>
  <w:style w:type="paragraph" w:styleId="BodyTextIndent">
    <w:name w:val="Body Text Indent"/>
    <w:basedOn w:val="Normal"/>
    <w:link w:val="BodyTextIndentChar"/>
    <w:semiHidden/>
    <w:unhideWhenUsed/>
    <w:rsid w:val="00D3044A"/>
    <w:pPr>
      <w:ind w:left="360"/>
      <w:jc w:val="both"/>
    </w:pPr>
    <w:rPr>
      <w:szCs w:val="20"/>
    </w:rPr>
  </w:style>
  <w:style w:type="character" w:customStyle="1" w:styleId="BodyTextIndentChar">
    <w:name w:val="Body Text Indent Char"/>
    <w:basedOn w:val="DefaultParagraphFont"/>
    <w:link w:val="BodyTextIndent"/>
    <w:semiHidden/>
    <w:rsid w:val="00D3044A"/>
    <w:rPr>
      <w:rFonts w:ascii="Times New Roman" w:eastAsia="Times New Roman" w:hAnsi="Times New Roman" w:cs="Times New Roman"/>
      <w:sz w:val="24"/>
      <w:szCs w:val="20"/>
    </w:rPr>
  </w:style>
  <w:style w:type="paragraph" w:styleId="Header">
    <w:name w:val="header"/>
    <w:basedOn w:val="Normal"/>
    <w:link w:val="HeaderChar"/>
    <w:uiPriority w:val="99"/>
    <w:unhideWhenUsed/>
    <w:rsid w:val="00D3044A"/>
    <w:pPr>
      <w:tabs>
        <w:tab w:val="center" w:pos="4513"/>
        <w:tab w:val="right" w:pos="9026"/>
      </w:tabs>
    </w:pPr>
  </w:style>
  <w:style w:type="character" w:customStyle="1" w:styleId="HeaderChar">
    <w:name w:val="Header Char"/>
    <w:basedOn w:val="DefaultParagraphFont"/>
    <w:link w:val="Header"/>
    <w:uiPriority w:val="99"/>
    <w:rsid w:val="00D3044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3044A"/>
    <w:pPr>
      <w:tabs>
        <w:tab w:val="center" w:pos="4513"/>
        <w:tab w:val="right" w:pos="9026"/>
      </w:tabs>
    </w:pPr>
  </w:style>
  <w:style w:type="character" w:customStyle="1" w:styleId="FooterChar">
    <w:name w:val="Footer Char"/>
    <w:basedOn w:val="DefaultParagraphFont"/>
    <w:link w:val="Footer"/>
    <w:uiPriority w:val="99"/>
    <w:rsid w:val="00D3044A"/>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3044A"/>
    <w:rPr>
      <w:rFonts w:ascii="Tahoma" w:hAnsi="Tahoma" w:cs="Tahoma"/>
      <w:sz w:val="16"/>
      <w:szCs w:val="16"/>
    </w:rPr>
  </w:style>
  <w:style w:type="character" w:customStyle="1" w:styleId="BalloonTextChar">
    <w:name w:val="Balloon Text Char"/>
    <w:basedOn w:val="DefaultParagraphFont"/>
    <w:link w:val="BalloonText"/>
    <w:uiPriority w:val="99"/>
    <w:semiHidden/>
    <w:rsid w:val="00D3044A"/>
    <w:rPr>
      <w:rFonts w:ascii="Tahoma" w:eastAsia="Times New Roman" w:hAnsi="Tahoma" w:cs="Tahoma"/>
      <w:sz w:val="16"/>
      <w:szCs w:val="16"/>
    </w:rPr>
  </w:style>
  <w:style w:type="paragraph" w:styleId="ListParagraph">
    <w:name w:val="List Paragraph"/>
    <w:basedOn w:val="Normal"/>
    <w:uiPriority w:val="34"/>
    <w:qFormat/>
    <w:rsid w:val="00641D54"/>
    <w:pPr>
      <w:spacing w:after="120"/>
      <w:contextualSpacing/>
    </w:pPr>
    <w:rPr>
      <w:rFonts w:eastAsiaTheme="minorHAnsi" w:cstheme="minorBidi"/>
      <w:szCs w:val="22"/>
    </w:rPr>
  </w:style>
  <w:style w:type="paragraph" w:customStyle="1" w:styleId="Default">
    <w:name w:val="Default"/>
    <w:rsid w:val="0056722A"/>
    <w:pPr>
      <w:autoSpaceDE w:val="0"/>
      <w:autoSpaceDN w:val="0"/>
      <w:adjustRightInd w:val="0"/>
      <w:spacing w:after="0" w:line="240" w:lineRule="auto"/>
    </w:pPr>
    <w:rPr>
      <w:rFonts w:ascii="Verdana" w:hAnsi="Verdana" w:cs="Verdana"/>
      <w:color w:val="000000"/>
      <w:sz w:val="24"/>
      <w:szCs w:val="24"/>
    </w:rPr>
  </w:style>
  <w:style w:type="paragraph" w:customStyle="1" w:styleId="Pa12">
    <w:name w:val="Pa12"/>
    <w:basedOn w:val="Default"/>
    <w:next w:val="Default"/>
    <w:uiPriority w:val="99"/>
    <w:rsid w:val="00EA4583"/>
    <w:pPr>
      <w:spacing w:line="241" w:lineRule="atLeast"/>
    </w:pPr>
    <w:rPr>
      <w:rFonts w:ascii="Frutiger 45 Light" w:hAnsi="Frutiger 45 Light" w:cstheme="minorBidi"/>
      <w:color w:val="auto"/>
    </w:rPr>
  </w:style>
  <w:style w:type="character" w:customStyle="1" w:styleId="A5">
    <w:name w:val="A5"/>
    <w:uiPriority w:val="99"/>
    <w:rsid w:val="00EA4583"/>
    <w:rPr>
      <w:rFonts w:cs="Frutiger 45 Light"/>
      <w:color w:val="000000"/>
    </w:rPr>
  </w:style>
  <w:style w:type="character" w:styleId="CommentReference">
    <w:name w:val="annotation reference"/>
    <w:basedOn w:val="DefaultParagraphFont"/>
    <w:uiPriority w:val="99"/>
    <w:semiHidden/>
    <w:unhideWhenUsed/>
    <w:rsid w:val="00233537"/>
    <w:rPr>
      <w:sz w:val="16"/>
      <w:szCs w:val="16"/>
    </w:rPr>
  </w:style>
  <w:style w:type="paragraph" w:styleId="CommentText">
    <w:name w:val="annotation text"/>
    <w:basedOn w:val="Normal"/>
    <w:link w:val="CommentTextChar"/>
    <w:uiPriority w:val="99"/>
    <w:semiHidden/>
    <w:unhideWhenUsed/>
    <w:rsid w:val="00233537"/>
    <w:rPr>
      <w:sz w:val="20"/>
      <w:szCs w:val="20"/>
    </w:rPr>
  </w:style>
  <w:style w:type="character" w:customStyle="1" w:styleId="CommentTextChar">
    <w:name w:val="Comment Text Char"/>
    <w:basedOn w:val="DefaultParagraphFont"/>
    <w:link w:val="CommentText"/>
    <w:uiPriority w:val="99"/>
    <w:semiHidden/>
    <w:rsid w:val="0023353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33537"/>
    <w:rPr>
      <w:b/>
      <w:bCs/>
    </w:rPr>
  </w:style>
  <w:style w:type="character" w:customStyle="1" w:styleId="CommentSubjectChar">
    <w:name w:val="Comment Subject Char"/>
    <w:basedOn w:val="CommentTextChar"/>
    <w:link w:val="CommentSubject"/>
    <w:uiPriority w:val="99"/>
    <w:semiHidden/>
    <w:rsid w:val="00233537"/>
    <w:rPr>
      <w:rFonts w:ascii="Times New Roman" w:eastAsia="Times New Roman" w:hAnsi="Times New Roman" w:cs="Times New Roman"/>
      <w:b/>
      <w:bCs/>
      <w:sz w:val="20"/>
      <w:szCs w:val="20"/>
    </w:rPr>
  </w:style>
  <w:style w:type="character" w:styleId="Hyperlink">
    <w:name w:val="Hyperlink"/>
    <w:basedOn w:val="DefaultParagraphFont"/>
    <w:uiPriority w:val="99"/>
    <w:unhideWhenUsed/>
    <w:rsid w:val="002B5244"/>
    <w:rPr>
      <w:color w:val="0000FF" w:themeColor="hyperlink"/>
      <w:u w:val="single"/>
    </w:rPr>
  </w:style>
  <w:style w:type="paragraph" w:styleId="NormalWeb">
    <w:name w:val="Normal (Web)"/>
    <w:basedOn w:val="Normal"/>
    <w:uiPriority w:val="99"/>
    <w:unhideWhenUsed/>
    <w:rsid w:val="000D6D9E"/>
    <w:pPr>
      <w:spacing w:before="100" w:beforeAutospacing="1" w:after="100" w:afterAutospacing="1"/>
    </w:pPr>
    <w:rPr>
      <w:lang w:eastAsia="en-GB"/>
    </w:rPr>
  </w:style>
  <w:style w:type="character" w:styleId="FollowedHyperlink">
    <w:name w:val="FollowedHyperlink"/>
    <w:basedOn w:val="DefaultParagraphFont"/>
    <w:uiPriority w:val="99"/>
    <w:semiHidden/>
    <w:unhideWhenUsed/>
    <w:rsid w:val="006F3662"/>
    <w:rPr>
      <w:color w:val="800080" w:themeColor="followedHyperlink"/>
      <w:u w:val="single"/>
    </w:rPr>
  </w:style>
  <w:style w:type="table" w:styleId="TableGrid">
    <w:name w:val="Table Grid"/>
    <w:basedOn w:val="TableNormal"/>
    <w:uiPriority w:val="59"/>
    <w:rsid w:val="005C24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unhideWhenUsed/>
    <w:qFormat/>
    <w:rsid w:val="00557070"/>
    <w:pPr>
      <w:spacing w:after="120"/>
    </w:pPr>
  </w:style>
  <w:style w:type="character" w:customStyle="1" w:styleId="BodyTextChar">
    <w:name w:val="Body Text Char"/>
    <w:basedOn w:val="DefaultParagraphFont"/>
    <w:link w:val="BodyText"/>
    <w:uiPriority w:val="99"/>
    <w:rsid w:val="00557070"/>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607B2A"/>
    <w:pPr>
      <w:widowControl w:val="0"/>
      <w:autoSpaceDE w:val="0"/>
      <w:autoSpaceDN w:val="0"/>
    </w:pPr>
    <w:rPr>
      <w:rFonts w:ascii="Arial" w:eastAsia="Arial" w:hAnsi="Arial" w:cs="Arial"/>
      <w:sz w:val="22"/>
      <w:szCs w:val="22"/>
      <w:lang w:val="en-US"/>
    </w:rPr>
  </w:style>
  <w:style w:type="paragraph" w:customStyle="1" w:styleId="xmsonormal">
    <w:name w:val="x_msonormal"/>
    <w:basedOn w:val="Normal"/>
    <w:rsid w:val="0099321C"/>
    <w:pPr>
      <w:spacing w:before="100" w:beforeAutospacing="1" w:after="100" w:afterAutospacing="1"/>
    </w:pPr>
    <w:rPr>
      <w:lang w:eastAsia="en-GB"/>
    </w:rPr>
  </w:style>
  <w:style w:type="paragraph" w:customStyle="1" w:styleId="xmsolistparagraph">
    <w:name w:val="x_msolistparagraph"/>
    <w:basedOn w:val="Normal"/>
    <w:rsid w:val="0099321C"/>
    <w:pPr>
      <w:spacing w:before="100" w:beforeAutospacing="1" w:after="100" w:afterAutospacing="1"/>
    </w:pPr>
    <w:rPr>
      <w:lang w:eastAsia="en-GB"/>
    </w:rPr>
  </w:style>
  <w:style w:type="paragraph" w:styleId="EndnoteText">
    <w:name w:val="endnote text"/>
    <w:basedOn w:val="Normal"/>
    <w:link w:val="EndnoteTextChar"/>
    <w:uiPriority w:val="99"/>
    <w:semiHidden/>
    <w:unhideWhenUsed/>
    <w:rsid w:val="008402FB"/>
    <w:rPr>
      <w:sz w:val="20"/>
      <w:szCs w:val="20"/>
    </w:rPr>
  </w:style>
  <w:style w:type="character" w:customStyle="1" w:styleId="EndnoteTextChar">
    <w:name w:val="Endnote Text Char"/>
    <w:basedOn w:val="DefaultParagraphFont"/>
    <w:link w:val="EndnoteText"/>
    <w:uiPriority w:val="99"/>
    <w:semiHidden/>
    <w:rsid w:val="008402FB"/>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8402FB"/>
    <w:rPr>
      <w:vertAlign w:val="superscript"/>
    </w:rPr>
  </w:style>
  <w:style w:type="paragraph" w:styleId="FootnoteText">
    <w:name w:val="footnote text"/>
    <w:basedOn w:val="Normal"/>
    <w:link w:val="FootnoteTextChar"/>
    <w:uiPriority w:val="99"/>
    <w:semiHidden/>
    <w:unhideWhenUsed/>
    <w:rsid w:val="008402FB"/>
    <w:rPr>
      <w:sz w:val="20"/>
      <w:szCs w:val="20"/>
    </w:rPr>
  </w:style>
  <w:style w:type="character" w:customStyle="1" w:styleId="FootnoteTextChar">
    <w:name w:val="Footnote Text Char"/>
    <w:basedOn w:val="DefaultParagraphFont"/>
    <w:link w:val="FootnoteText"/>
    <w:uiPriority w:val="99"/>
    <w:semiHidden/>
    <w:rsid w:val="008402FB"/>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8402FB"/>
    <w:rPr>
      <w:vertAlign w:val="superscript"/>
    </w:rPr>
  </w:style>
  <w:style w:type="character" w:styleId="Strong">
    <w:name w:val="Strong"/>
    <w:basedOn w:val="DefaultParagraphFont"/>
    <w:uiPriority w:val="22"/>
    <w:qFormat/>
    <w:rsid w:val="00BA6479"/>
    <w:rPr>
      <w:b/>
      <w:bCs/>
    </w:rPr>
  </w:style>
  <w:style w:type="paragraph" w:styleId="TOCHeading">
    <w:name w:val="TOC Heading"/>
    <w:basedOn w:val="Heading1"/>
    <w:next w:val="Normal"/>
    <w:uiPriority w:val="39"/>
    <w:unhideWhenUsed/>
    <w:qFormat/>
    <w:rsid w:val="003C344A"/>
    <w:pPr>
      <w:keepNext/>
      <w:keepLines/>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TOC2">
    <w:name w:val="toc 2"/>
    <w:basedOn w:val="Normal"/>
    <w:next w:val="Normal"/>
    <w:autoRedefine/>
    <w:uiPriority w:val="39"/>
    <w:unhideWhenUsed/>
    <w:rsid w:val="00C812C7"/>
    <w:pPr>
      <w:tabs>
        <w:tab w:val="right" w:leader="dot" w:pos="9016"/>
      </w:tabs>
      <w:spacing w:after="100"/>
      <w:ind w:left="1134" w:hanging="567"/>
    </w:pPr>
    <w:rPr>
      <w:rFonts w:asciiTheme="minorHAnsi" w:hAnsiTheme="minorHAnsi" w:cstheme="minorHAnsi"/>
      <w:b/>
      <w:i/>
      <w:noProof/>
      <w:lang w:eastAsia="en-GB"/>
    </w:rPr>
  </w:style>
  <w:style w:type="paragraph" w:styleId="TOC1">
    <w:name w:val="toc 1"/>
    <w:basedOn w:val="Normal"/>
    <w:next w:val="Normal"/>
    <w:autoRedefine/>
    <w:uiPriority w:val="39"/>
    <w:unhideWhenUsed/>
    <w:rsid w:val="00602800"/>
    <w:pPr>
      <w:tabs>
        <w:tab w:val="right" w:leader="dot" w:pos="9016"/>
      </w:tabs>
      <w:spacing w:after="100"/>
      <w:ind w:left="567" w:hanging="567"/>
    </w:pPr>
  </w:style>
  <w:style w:type="paragraph" w:styleId="Revision">
    <w:name w:val="Revision"/>
    <w:hidden/>
    <w:uiPriority w:val="99"/>
    <w:semiHidden/>
    <w:rsid w:val="00084F3D"/>
    <w:pPr>
      <w:spacing w:after="0" w:line="240" w:lineRule="auto"/>
    </w:pPr>
    <w:rPr>
      <w:rFonts w:ascii="Times New Roman" w:eastAsia="Times New Roman" w:hAnsi="Times New Roman" w:cs="Times New Roman"/>
      <w:sz w:val="24"/>
      <w:szCs w:val="24"/>
    </w:rPr>
  </w:style>
  <w:style w:type="character" w:customStyle="1" w:styleId="casenumber">
    <w:name w:val="casenumber"/>
    <w:basedOn w:val="DefaultParagraphFont"/>
    <w:rsid w:val="007D6D31"/>
  </w:style>
  <w:style w:type="paragraph" w:customStyle="1" w:styleId="xp1">
    <w:name w:val="x_p1"/>
    <w:basedOn w:val="Normal"/>
    <w:rsid w:val="001731D1"/>
    <w:pPr>
      <w:spacing w:before="100" w:beforeAutospacing="1" w:after="100" w:afterAutospacing="1"/>
    </w:pPr>
    <w:rPr>
      <w:lang w:eastAsia="en-GB"/>
    </w:rPr>
  </w:style>
  <w:style w:type="character" w:customStyle="1" w:styleId="xs1">
    <w:name w:val="x_s1"/>
    <w:basedOn w:val="DefaultParagraphFont"/>
    <w:rsid w:val="001731D1"/>
  </w:style>
  <w:style w:type="paragraph" w:customStyle="1" w:styleId="xp2">
    <w:name w:val="x_p2"/>
    <w:basedOn w:val="Normal"/>
    <w:rsid w:val="001731D1"/>
    <w:pPr>
      <w:spacing w:before="100" w:beforeAutospacing="1" w:after="100" w:afterAutospacing="1"/>
    </w:pPr>
    <w:rPr>
      <w:lang w:eastAsia="en-GB"/>
    </w:rPr>
  </w:style>
  <w:style w:type="numbering" w:customStyle="1" w:styleId="NoList1">
    <w:name w:val="No List1"/>
    <w:next w:val="NoList"/>
    <w:uiPriority w:val="99"/>
    <w:semiHidden/>
    <w:unhideWhenUsed/>
    <w:rsid w:val="00A67C7E"/>
  </w:style>
  <w:style w:type="numbering" w:customStyle="1" w:styleId="NoList2">
    <w:name w:val="No List2"/>
    <w:next w:val="NoList"/>
    <w:uiPriority w:val="99"/>
    <w:semiHidden/>
    <w:unhideWhenUsed/>
    <w:rsid w:val="0084788B"/>
  </w:style>
  <w:style w:type="table" w:customStyle="1" w:styleId="TableGrid1">
    <w:name w:val="Table Grid1"/>
    <w:basedOn w:val="TableNormal"/>
    <w:next w:val="TableGrid"/>
    <w:uiPriority w:val="39"/>
    <w:rsid w:val="00B133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4959BA"/>
    <w:rPr>
      <w:rFonts w:asciiTheme="majorHAnsi" w:eastAsiaTheme="majorEastAsia" w:hAnsiTheme="majorHAnsi" w:cstheme="majorBidi"/>
      <w:color w:val="243F60" w:themeColor="accent1" w:themeShade="7F"/>
      <w:sz w:val="24"/>
      <w:szCs w:val="24"/>
    </w:rPr>
  </w:style>
  <w:style w:type="paragraph" w:styleId="TOC3">
    <w:name w:val="toc 3"/>
    <w:basedOn w:val="Normal"/>
    <w:next w:val="Normal"/>
    <w:autoRedefine/>
    <w:uiPriority w:val="39"/>
    <w:unhideWhenUsed/>
    <w:rsid w:val="0055456B"/>
    <w:pPr>
      <w:tabs>
        <w:tab w:val="right" w:leader="dot" w:pos="9016"/>
      </w:tabs>
      <w:spacing w:after="100"/>
      <w:ind w:left="851"/>
    </w:pPr>
  </w:style>
  <w:style w:type="paragraph" w:customStyle="1" w:styleId="Nnumber">
    <w:name w:val="N_number"/>
    <w:rsid w:val="00081633"/>
    <w:pPr>
      <w:numPr>
        <w:numId w:val="16"/>
      </w:numPr>
      <w:tabs>
        <w:tab w:val="left" w:pos="360"/>
        <w:tab w:val="left" w:pos="426"/>
      </w:tabs>
      <w:suppressAutoHyphens/>
      <w:autoSpaceDN w:val="0"/>
      <w:spacing w:before="180" w:after="0" w:line="240" w:lineRule="auto"/>
      <w:jc w:val="both"/>
      <w:textAlignment w:val="baseline"/>
    </w:pPr>
    <w:rPr>
      <w:rFonts w:ascii="Times New Roman" w:eastAsia="Times New Roman" w:hAnsi="Times New Roman" w:cs="Times New Roman"/>
      <w:sz w:val="24"/>
      <w:szCs w:val="20"/>
      <w:lang w:eastAsia="en-GB"/>
    </w:rPr>
  </w:style>
  <w:style w:type="paragraph" w:customStyle="1" w:styleId="Table">
    <w:name w:val="Table"/>
    <w:basedOn w:val="Normal"/>
    <w:rsid w:val="00081633"/>
    <w:pPr>
      <w:suppressAutoHyphens/>
      <w:autoSpaceDN w:val="0"/>
      <w:spacing w:before="60" w:after="60"/>
      <w:ind w:left="34"/>
      <w:textAlignment w:val="baseline"/>
    </w:pPr>
    <w:rPr>
      <w:rFonts w:ascii="Arial Narrow" w:hAnsi="Arial Narrow"/>
      <w:sz w:val="20"/>
      <w:lang w:eastAsia="en-GB"/>
    </w:rPr>
  </w:style>
  <w:style w:type="numbering" w:customStyle="1" w:styleId="LFO4">
    <w:name w:val="LFO4"/>
    <w:basedOn w:val="NoList"/>
    <w:rsid w:val="00081633"/>
    <w:pPr>
      <w:numPr>
        <w:numId w:val="16"/>
      </w:numPr>
    </w:pPr>
  </w:style>
  <w:style w:type="paragraph" w:styleId="NoSpacing">
    <w:name w:val="No Spacing"/>
    <w:uiPriority w:val="1"/>
    <w:qFormat/>
    <w:rsid w:val="00890045"/>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371570">
      <w:bodyDiv w:val="1"/>
      <w:marLeft w:val="0"/>
      <w:marRight w:val="0"/>
      <w:marTop w:val="0"/>
      <w:marBottom w:val="0"/>
      <w:divBdr>
        <w:top w:val="none" w:sz="0" w:space="0" w:color="auto"/>
        <w:left w:val="none" w:sz="0" w:space="0" w:color="auto"/>
        <w:bottom w:val="none" w:sz="0" w:space="0" w:color="auto"/>
        <w:right w:val="none" w:sz="0" w:space="0" w:color="auto"/>
      </w:divBdr>
    </w:div>
    <w:div w:id="237520706">
      <w:bodyDiv w:val="1"/>
      <w:marLeft w:val="0"/>
      <w:marRight w:val="0"/>
      <w:marTop w:val="0"/>
      <w:marBottom w:val="0"/>
      <w:divBdr>
        <w:top w:val="none" w:sz="0" w:space="0" w:color="auto"/>
        <w:left w:val="none" w:sz="0" w:space="0" w:color="auto"/>
        <w:bottom w:val="none" w:sz="0" w:space="0" w:color="auto"/>
        <w:right w:val="none" w:sz="0" w:space="0" w:color="auto"/>
      </w:divBdr>
    </w:div>
    <w:div w:id="307511993">
      <w:bodyDiv w:val="1"/>
      <w:marLeft w:val="0"/>
      <w:marRight w:val="0"/>
      <w:marTop w:val="0"/>
      <w:marBottom w:val="0"/>
      <w:divBdr>
        <w:top w:val="none" w:sz="0" w:space="0" w:color="auto"/>
        <w:left w:val="none" w:sz="0" w:space="0" w:color="auto"/>
        <w:bottom w:val="none" w:sz="0" w:space="0" w:color="auto"/>
        <w:right w:val="none" w:sz="0" w:space="0" w:color="auto"/>
      </w:divBdr>
      <w:divsChild>
        <w:div w:id="1211303503">
          <w:marLeft w:val="0"/>
          <w:marRight w:val="0"/>
          <w:marTop w:val="0"/>
          <w:marBottom w:val="0"/>
          <w:divBdr>
            <w:top w:val="none" w:sz="0" w:space="0" w:color="auto"/>
            <w:left w:val="none" w:sz="0" w:space="0" w:color="auto"/>
            <w:bottom w:val="none" w:sz="0" w:space="0" w:color="auto"/>
            <w:right w:val="none" w:sz="0" w:space="0" w:color="auto"/>
          </w:divBdr>
          <w:divsChild>
            <w:div w:id="1356344932">
              <w:marLeft w:val="0"/>
              <w:marRight w:val="0"/>
              <w:marTop w:val="0"/>
              <w:marBottom w:val="0"/>
              <w:divBdr>
                <w:top w:val="single" w:sz="2" w:space="0" w:color="FFFFFF"/>
                <w:left w:val="single" w:sz="6" w:space="0" w:color="FFFFFF"/>
                <w:bottom w:val="single" w:sz="6" w:space="0" w:color="FFFFFF"/>
                <w:right w:val="single" w:sz="6" w:space="0" w:color="FFFFFF"/>
              </w:divBdr>
              <w:divsChild>
                <w:div w:id="202277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19326">
      <w:bodyDiv w:val="1"/>
      <w:marLeft w:val="0"/>
      <w:marRight w:val="0"/>
      <w:marTop w:val="0"/>
      <w:marBottom w:val="0"/>
      <w:divBdr>
        <w:top w:val="none" w:sz="0" w:space="0" w:color="auto"/>
        <w:left w:val="none" w:sz="0" w:space="0" w:color="auto"/>
        <w:bottom w:val="none" w:sz="0" w:space="0" w:color="auto"/>
        <w:right w:val="none" w:sz="0" w:space="0" w:color="auto"/>
      </w:divBdr>
    </w:div>
    <w:div w:id="669866139">
      <w:bodyDiv w:val="1"/>
      <w:marLeft w:val="0"/>
      <w:marRight w:val="0"/>
      <w:marTop w:val="0"/>
      <w:marBottom w:val="0"/>
      <w:divBdr>
        <w:top w:val="none" w:sz="0" w:space="0" w:color="auto"/>
        <w:left w:val="none" w:sz="0" w:space="0" w:color="auto"/>
        <w:bottom w:val="none" w:sz="0" w:space="0" w:color="auto"/>
        <w:right w:val="none" w:sz="0" w:space="0" w:color="auto"/>
      </w:divBdr>
      <w:divsChild>
        <w:div w:id="14714336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7715870">
              <w:marLeft w:val="0"/>
              <w:marRight w:val="0"/>
              <w:marTop w:val="0"/>
              <w:marBottom w:val="0"/>
              <w:divBdr>
                <w:top w:val="none" w:sz="0" w:space="0" w:color="auto"/>
                <w:left w:val="none" w:sz="0" w:space="0" w:color="auto"/>
                <w:bottom w:val="none" w:sz="0" w:space="0" w:color="auto"/>
                <w:right w:val="none" w:sz="0" w:space="0" w:color="auto"/>
              </w:divBdr>
              <w:divsChild>
                <w:div w:id="776948149">
                  <w:marLeft w:val="0"/>
                  <w:marRight w:val="0"/>
                  <w:marTop w:val="0"/>
                  <w:marBottom w:val="0"/>
                  <w:divBdr>
                    <w:top w:val="none" w:sz="0" w:space="0" w:color="auto"/>
                    <w:left w:val="none" w:sz="0" w:space="0" w:color="auto"/>
                    <w:bottom w:val="none" w:sz="0" w:space="0" w:color="auto"/>
                    <w:right w:val="none" w:sz="0" w:space="0" w:color="auto"/>
                  </w:divBdr>
                  <w:divsChild>
                    <w:div w:id="184650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279322">
      <w:bodyDiv w:val="1"/>
      <w:marLeft w:val="0"/>
      <w:marRight w:val="0"/>
      <w:marTop w:val="0"/>
      <w:marBottom w:val="0"/>
      <w:divBdr>
        <w:top w:val="none" w:sz="0" w:space="0" w:color="auto"/>
        <w:left w:val="none" w:sz="0" w:space="0" w:color="auto"/>
        <w:bottom w:val="none" w:sz="0" w:space="0" w:color="auto"/>
        <w:right w:val="none" w:sz="0" w:space="0" w:color="auto"/>
      </w:divBdr>
      <w:divsChild>
        <w:div w:id="2107799832">
          <w:marLeft w:val="0"/>
          <w:marRight w:val="0"/>
          <w:marTop w:val="0"/>
          <w:marBottom w:val="0"/>
          <w:divBdr>
            <w:top w:val="none" w:sz="0" w:space="0" w:color="auto"/>
            <w:left w:val="none" w:sz="0" w:space="0" w:color="auto"/>
            <w:bottom w:val="none" w:sz="0" w:space="0" w:color="auto"/>
            <w:right w:val="none" w:sz="0" w:space="0" w:color="auto"/>
          </w:divBdr>
          <w:divsChild>
            <w:div w:id="1674062807">
              <w:marLeft w:val="0"/>
              <w:marRight w:val="0"/>
              <w:marTop w:val="0"/>
              <w:marBottom w:val="0"/>
              <w:divBdr>
                <w:top w:val="none" w:sz="0" w:space="0" w:color="auto"/>
                <w:left w:val="none" w:sz="0" w:space="0" w:color="auto"/>
                <w:bottom w:val="none" w:sz="0" w:space="0" w:color="auto"/>
                <w:right w:val="none" w:sz="0" w:space="0" w:color="auto"/>
              </w:divBdr>
              <w:divsChild>
                <w:div w:id="893468649">
                  <w:marLeft w:val="0"/>
                  <w:marRight w:val="0"/>
                  <w:marTop w:val="0"/>
                  <w:marBottom w:val="0"/>
                  <w:divBdr>
                    <w:top w:val="none" w:sz="0" w:space="0" w:color="auto"/>
                    <w:left w:val="none" w:sz="0" w:space="0" w:color="auto"/>
                    <w:bottom w:val="none" w:sz="0" w:space="0" w:color="auto"/>
                    <w:right w:val="none" w:sz="0" w:space="0" w:color="auto"/>
                  </w:divBdr>
                  <w:divsChild>
                    <w:div w:id="1329408508">
                      <w:marLeft w:val="0"/>
                      <w:marRight w:val="0"/>
                      <w:marTop w:val="0"/>
                      <w:marBottom w:val="0"/>
                      <w:divBdr>
                        <w:top w:val="none" w:sz="0" w:space="0" w:color="auto"/>
                        <w:left w:val="none" w:sz="0" w:space="0" w:color="auto"/>
                        <w:bottom w:val="none" w:sz="0" w:space="0" w:color="auto"/>
                        <w:right w:val="none" w:sz="0" w:space="0" w:color="auto"/>
                      </w:divBdr>
                      <w:divsChild>
                        <w:div w:id="817376565">
                          <w:marLeft w:val="0"/>
                          <w:marRight w:val="0"/>
                          <w:marTop w:val="0"/>
                          <w:marBottom w:val="0"/>
                          <w:divBdr>
                            <w:top w:val="none" w:sz="0" w:space="0" w:color="auto"/>
                            <w:left w:val="none" w:sz="0" w:space="0" w:color="auto"/>
                            <w:bottom w:val="none" w:sz="0" w:space="0" w:color="auto"/>
                            <w:right w:val="none" w:sz="0" w:space="0" w:color="auto"/>
                          </w:divBdr>
                          <w:divsChild>
                            <w:div w:id="960188486">
                              <w:marLeft w:val="180"/>
                              <w:marRight w:val="18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9296161">
      <w:bodyDiv w:val="1"/>
      <w:marLeft w:val="0"/>
      <w:marRight w:val="0"/>
      <w:marTop w:val="0"/>
      <w:marBottom w:val="0"/>
      <w:divBdr>
        <w:top w:val="none" w:sz="0" w:space="0" w:color="auto"/>
        <w:left w:val="none" w:sz="0" w:space="0" w:color="auto"/>
        <w:bottom w:val="none" w:sz="0" w:space="0" w:color="auto"/>
        <w:right w:val="none" w:sz="0" w:space="0" w:color="auto"/>
      </w:divBdr>
    </w:div>
    <w:div w:id="986978868">
      <w:bodyDiv w:val="1"/>
      <w:marLeft w:val="0"/>
      <w:marRight w:val="0"/>
      <w:marTop w:val="0"/>
      <w:marBottom w:val="0"/>
      <w:divBdr>
        <w:top w:val="none" w:sz="0" w:space="0" w:color="auto"/>
        <w:left w:val="none" w:sz="0" w:space="0" w:color="auto"/>
        <w:bottom w:val="none" w:sz="0" w:space="0" w:color="auto"/>
        <w:right w:val="none" w:sz="0" w:space="0" w:color="auto"/>
      </w:divBdr>
    </w:div>
    <w:div w:id="1306815442">
      <w:bodyDiv w:val="1"/>
      <w:marLeft w:val="0"/>
      <w:marRight w:val="0"/>
      <w:marTop w:val="0"/>
      <w:marBottom w:val="0"/>
      <w:divBdr>
        <w:top w:val="none" w:sz="0" w:space="0" w:color="auto"/>
        <w:left w:val="none" w:sz="0" w:space="0" w:color="auto"/>
        <w:bottom w:val="none" w:sz="0" w:space="0" w:color="auto"/>
        <w:right w:val="none" w:sz="0" w:space="0" w:color="auto"/>
      </w:divBdr>
      <w:divsChild>
        <w:div w:id="1048457810">
          <w:marLeft w:val="0"/>
          <w:marRight w:val="0"/>
          <w:marTop w:val="0"/>
          <w:marBottom w:val="0"/>
          <w:divBdr>
            <w:top w:val="none" w:sz="0" w:space="0" w:color="auto"/>
            <w:left w:val="none" w:sz="0" w:space="0" w:color="auto"/>
            <w:bottom w:val="none" w:sz="0" w:space="0" w:color="auto"/>
            <w:right w:val="none" w:sz="0" w:space="0" w:color="auto"/>
          </w:divBdr>
          <w:divsChild>
            <w:div w:id="1356688476">
              <w:marLeft w:val="0"/>
              <w:marRight w:val="0"/>
              <w:marTop w:val="0"/>
              <w:marBottom w:val="0"/>
              <w:divBdr>
                <w:top w:val="none" w:sz="0" w:space="0" w:color="auto"/>
                <w:left w:val="none" w:sz="0" w:space="0" w:color="auto"/>
                <w:bottom w:val="none" w:sz="0" w:space="0" w:color="auto"/>
                <w:right w:val="none" w:sz="0" w:space="0" w:color="auto"/>
              </w:divBdr>
              <w:divsChild>
                <w:div w:id="1790051745">
                  <w:marLeft w:val="780"/>
                  <w:marRight w:val="0"/>
                  <w:marTop w:val="0"/>
                  <w:marBottom w:val="0"/>
                  <w:divBdr>
                    <w:top w:val="none" w:sz="0" w:space="0" w:color="auto"/>
                    <w:left w:val="none" w:sz="0" w:space="0" w:color="auto"/>
                    <w:bottom w:val="none" w:sz="0" w:space="0" w:color="auto"/>
                    <w:right w:val="none" w:sz="0" w:space="0" w:color="auto"/>
                  </w:divBdr>
                  <w:divsChild>
                    <w:div w:id="1848707722">
                      <w:marLeft w:val="0"/>
                      <w:marRight w:val="0"/>
                      <w:marTop w:val="0"/>
                      <w:marBottom w:val="0"/>
                      <w:divBdr>
                        <w:top w:val="none" w:sz="0" w:space="0" w:color="auto"/>
                        <w:left w:val="none" w:sz="0" w:space="0" w:color="auto"/>
                        <w:bottom w:val="none" w:sz="0" w:space="0" w:color="auto"/>
                        <w:right w:val="none" w:sz="0" w:space="0" w:color="auto"/>
                      </w:divBdr>
                      <w:divsChild>
                        <w:div w:id="1140416724">
                          <w:marLeft w:val="0"/>
                          <w:marRight w:val="0"/>
                          <w:marTop w:val="0"/>
                          <w:marBottom w:val="0"/>
                          <w:divBdr>
                            <w:top w:val="none" w:sz="0" w:space="0" w:color="auto"/>
                            <w:left w:val="none" w:sz="0" w:space="0" w:color="auto"/>
                            <w:bottom w:val="none" w:sz="0" w:space="0" w:color="auto"/>
                            <w:right w:val="none" w:sz="0" w:space="0" w:color="auto"/>
                          </w:divBdr>
                          <w:divsChild>
                            <w:div w:id="143547770">
                              <w:marLeft w:val="0"/>
                              <w:marRight w:val="0"/>
                              <w:marTop w:val="0"/>
                              <w:marBottom w:val="0"/>
                              <w:divBdr>
                                <w:top w:val="none" w:sz="0" w:space="0" w:color="auto"/>
                                <w:left w:val="none" w:sz="0" w:space="0" w:color="auto"/>
                                <w:bottom w:val="none" w:sz="0" w:space="0" w:color="auto"/>
                                <w:right w:val="none" w:sz="0" w:space="0" w:color="auto"/>
                              </w:divBdr>
                            </w:div>
                          </w:divsChild>
                        </w:div>
                        <w:div w:id="946500489">
                          <w:marLeft w:val="0"/>
                          <w:marRight w:val="0"/>
                          <w:marTop w:val="30"/>
                          <w:marBottom w:val="0"/>
                          <w:divBdr>
                            <w:top w:val="none" w:sz="0" w:space="0" w:color="auto"/>
                            <w:left w:val="none" w:sz="0" w:space="0" w:color="auto"/>
                            <w:bottom w:val="none" w:sz="0" w:space="0" w:color="auto"/>
                            <w:right w:val="none" w:sz="0" w:space="0" w:color="auto"/>
                          </w:divBdr>
                        </w:div>
                      </w:divsChild>
                    </w:div>
                    <w:div w:id="49620023">
                      <w:marLeft w:val="0"/>
                      <w:marRight w:val="0"/>
                      <w:marTop w:val="0"/>
                      <w:marBottom w:val="0"/>
                      <w:divBdr>
                        <w:top w:val="none" w:sz="0" w:space="0" w:color="auto"/>
                        <w:left w:val="none" w:sz="0" w:space="0" w:color="auto"/>
                        <w:bottom w:val="none" w:sz="0" w:space="0" w:color="auto"/>
                        <w:right w:val="none" w:sz="0" w:space="0" w:color="auto"/>
                      </w:divBdr>
                      <w:divsChild>
                        <w:div w:id="1293367166">
                          <w:marLeft w:val="0"/>
                          <w:marRight w:val="0"/>
                          <w:marTop w:val="0"/>
                          <w:marBottom w:val="0"/>
                          <w:divBdr>
                            <w:top w:val="none" w:sz="0" w:space="0" w:color="auto"/>
                            <w:left w:val="none" w:sz="0" w:space="0" w:color="auto"/>
                            <w:bottom w:val="none" w:sz="0" w:space="0" w:color="auto"/>
                            <w:right w:val="none" w:sz="0" w:space="0" w:color="auto"/>
                          </w:divBdr>
                          <w:divsChild>
                            <w:div w:id="2130975394">
                              <w:marLeft w:val="0"/>
                              <w:marRight w:val="0"/>
                              <w:marTop w:val="0"/>
                              <w:marBottom w:val="0"/>
                              <w:divBdr>
                                <w:top w:val="none" w:sz="0" w:space="0" w:color="auto"/>
                                <w:left w:val="none" w:sz="0" w:space="0" w:color="auto"/>
                                <w:bottom w:val="none" w:sz="0" w:space="0" w:color="auto"/>
                                <w:right w:val="none" w:sz="0" w:space="0" w:color="auto"/>
                              </w:divBdr>
                              <w:divsChild>
                                <w:div w:id="1310130776">
                                  <w:marLeft w:val="0"/>
                                  <w:marRight w:val="0"/>
                                  <w:marTop w:val="0"/>
                                  <w:marBottom w:val="0"/>
                                  <w:divBdr>
                                    <w:top w:val="none" w:sz="0" w:space="0" w:color="auto"/>
                                    <w:left w:val="none" w:sz="0" w:space="0" w:color="auto"/>
                                    <w:bottom w:val="none" w:sz="0" w:space="0" w:color="auto"/>
                                    <w:right w:val="none" w:sz="0" w:space="0" w:color="auto"/>
                                  </w:divBdr>
                                  <w:divsChild>
                                    <w:div w:id="17782689">
                                      <w:marLeft w:val="0"/>
                                      <w:marRight w:val="0"/>
                                      <w:marTop w:val="0"/>
                                      <w:marBottom w:val="0"/>
                                      <w:divBdr>
                                        <w:top w:val="none" w:sz="0" w:space="0" w:color="auto"/>
                                        <w:left w:val="none" w:sz="0" w:space="0" w:color="auto"/>
                                        <w:bottom w:val="none" w:sz="0" w:space="0" w:color="auto"/>
                                        <w:right w:val="none" w:sz="0" w:space="0" w:color="auto"/>
                                      </w:divBdr>
                                      <w:divsChild>
                                        <w:div w:id="1637956152">
                                          <w:marLeft w:val="0"/>
                                          <w:marRight w:val="0"/>
                                          <w:marTop w:val="0"/>
                                          <w:marBottom w:val="0"/>
                                          <w:divBdr>
                                            <w:top w:val="none" w:sz="0" w:space="0" w:color="auto"/>
                                            <w:left w:val="none" w:sz="0" w:space="0" w:color="auto"/>
                                            <w:bottom w:val="none" w:sz="0" w:space="0" w:color="auto"/>
                                            <w:right w:val="none" w:sz="0" w:space="0" w:color="auto"/>
                                          </w:divBdr>
                                          <w:divsChild>
                                            <w:div w:id="999775373">
                                              <w:marLeft w:val="0"/>
                                              <w:marRight w:val="0"/>
                                              <w:marTop w:val="0"/>
                                              <w:marBottom w:val="0"/>
                                              <w:divBdr>
                                                <w:top w:val="none" w:sz="0" w:space="0" w:color="auto"/>
                                                <w:left w:val="none" w:sz="0" w:space="0" w:color="auto"/>
                                                <w:bottom w:val="none" w:sz="0" w:space="0" w:color="auto"/>
                                                <w:right w:val="none" w:sz="0" w:space="0" w:color="auto"/>
                                              </w:divBdr>
                                              <w:divsChild>
                                                <w:div w:id="1208445664">
                                                  <w:marLeft w:val="0"/>
                                                  <w:marRight w:val="0"/>
                                                  <w:marTop w:val="0"/>
                                                  <w:marBottom w:val="0"/>
                                                  <w:divBdr>
                                                    <w:top w:val="none" w:sz="0" w:space="0" w:color="auto"/>
                                                    <w:left w:val="none" w:sz="0" w:space="0" w:color="auto"/>
                                                    <w:bottom w:val="none" w:sz="0" w:space="0" w:color="auto"/>
                                                    <w:right w:val="none" w:sz="0" w:space="0" w:color="auto"/>
                                                  </w:divBdr>
                                                </w:div>
                                              </w:divsChild>
                                            </w:div>
                                            <w:div w:id="1592009978">
                                              <w:marLeft w:val="0"/>
                                              <w:marRight w:val="0"/>
                                              <w:marTop w:val="0"/>
                                              <w:marBottom w:val="0"/>
                                              <w:divBdr>
                                                <w:top w:val="none" w:sz="0" w:space="0" w:color="auto"/>
                                                <w:left w:val="none" w:sz="0" w:space="0" w:color="auto"/>
                                                <w:bottom w:val="none" w:sz="0" w:space="0" w:color="auto"/>
                                                <w:right w:val="none" w:sz="0" w:space="0" w:color="auto"/>
                                              </w:divBdr>
                                              <w:divsChild>
                                                <w:div w:id="1013729141">
                                                  <w:marLeft w:val="0"/>
                                                  <w:marRight w:val="0"/>
                                                  <w:marTop w:val="0"/>
                                                  <w:marBottom w:val="0"/>
                                                  <w:divBdr>
                                                    <w:top w:val="none" w:sz="0" w:space="0" w:color="auto"/>
                                                    <w:left w:val="none" w:sz="0" w:space="0" w:color="auto"/>
                                                    <w:bottom w:val="none" w:sz="0" w:space="0" w:color="auto"/>
                                                    <w:right w:val="none" w:sz="0" w:space="0" w:color="auto"/>
                                                  </w:divBdr>
                                                </w:div>
                                              </w:divsChild>
                                            </w:div>
                                            <w:div w:id="1884634613">
                                              <w:marLeft w:val="0"/>
                                              <w:marRight w:val="0"/>
                                              <w:marTop w:val="0"/>
                                              <w:marBottom w:val="0"/>
                                              <w:divBdr>
                                                <w:top w:val="none" w:sz="0" w:space="0" w:color="auto"/>
                                                <w:left w:val="none" w:sz="0" w:space="0" w:color="auto"/>
                                                <w:bottom w:val="none" w:sz="0" w:space="0" w:color="auto"/>
                                                <w:right w:val="none" w:sz="0" w:space="0" w:color="auto"/>
                                              </w:divBdr>
                                              <w:divsChild>
                                                <w:div w:id="161969570">
                                                  <w:marLeft w:val="0"/>
                                                  <w:marRight w:val="0"/>
                                                  <w:marTop w:val="0"/>
                                                  <w:marBottom w:val="0"/>
                                                  <w:divBdr>
                                                    <w:top w:val="none" w:sz="0" w:space="0" w:color="auto"/>
                                                    <w:left w:val="none" w:sz="0" w:space="0" w:color="auto"/>
                                                    <w:bottom w:val="none" w:sz="0" w:space="0" w:color="auto"/>
                                                    <w:right w:val="none" w:sz="0" w:space="0" w:color="auto"/>
                                                  </w:divBdr>
                                                  <w:divsChild>
                                                    <w:div w:id="57759420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933242925">
                                              <w:marLeft w:val="0"/>
                                              <w:marRight w:val="0"/>
                                              <w:marTop w:val="0"/>
                                              <w:marBottom w:val="0"/>
                                              <w:divBdr>
                                                <w:top w:val="none" w:sz="0" w:space="0" w:color="auto"/>
                                                <w:left w:val="none" w:sz="0" w:space="0" w:color="auto"/>
                                                <w:bottom w:val="none" w:sz="0" w:space="0" w:color="auto"/>
                                                <w:right w:val="none" w:sz="0" w:space="0" w:color="auto"/>
                                              </w:divBdr>
                                              <w:divsChild>
                                                <w:div w:id="211932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9504595">
                  <w:marLeft w:val="0"/>
                  <w:marRight w:val="0"/>
                  <w:marTop w:val="0"/>
                  <w:marBottom w:val="0"/>
                  <w:divBdr>
                    <w:top w:val="none" w:sz="0" w:space="0" w:color="auto"/>
                    <w:left w:val="none" w:sz="0" w:space="0" w:color="auto"/>
                    <w:bottom w:val="none" w:sz="0" w:space="0" w:color="auto"/>
                    <w:right w:val="none" w:sz="0" w:space="0" w:color="auto"/>
                  </w:divBdr>
                  <w:divsChild>
                    <w:div w:id="1663125270">
                      <w:marLeft w:val="0"/>
                      <w:marRight w:val="0"/>
                      <w:marTop w:val="0"/>
                      <w:marBottom w:val="0"/>
                      <w:divBdr>
                        <w:top w:val="none" w:sz="0" w:space="0" w:color="auto"/>
                        <w:left w:val="none" w:sz="0" w:space="0" w:color="auto"/>
                        <w:bottom w:val="none" w:sz="0" w:space="0" w:color="auto"/>
                        <w:right w:val="none" w:sz="0" w:space="0" w:color="auto"/>
                      </w:divBdr>
                      <w:divsChild>
                        <w:div w:id="2371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023253">
          <w:marLeft w:val="0"/>
          <w:marRight w:val="0"/>
          <w:marTop w:val="0"/>
          <w:marBottom w:val="0"/>
          <w:divBdr>
            <w:top w:val="none" w:sz="0" w:space="0" w:color="auto"/>
            <w:left w:val="none" w:sz="0" w:space="0" w:color="auto"/>
            <w:bottom w:val="none" w:sz="0" w:space="0" w:color="auto"/>
            <w:right w:val="none" w:sz="0" w:space="0" w:color="auto"/>
          </w:divBdr>
          <w:divsChild>
            <w:div w:id="1964385825">
              <w:marLeft w:val="780"/>
              <w:marRight w:val="240"/>
              <w:marTop w:val="180"/>
              <w:marBottom w:val="150"/>
              <w:divBdr>
                <w:top w:val="none" w:sz="0" w:space="0" w:color="auto"/>
                <w:left w:val="none" w:sz="0" w:space="0" w:color="auto"/>
                <w:bottom w:val="none" w:sz="0" w:space="0" w:color="auto"/>
                <w:right w:val="none" w:sz="0" w:space="0" w:color="auto"/>
              </w:divBdr>
              <w:divsChild>
                <w:div w:id="631640759">
                  <w:marLeft w:val="0"/>
                  <w:marRight w:val="0"/>
                  <w:marTop w:val="0"/>
                  <w:marBottom w:val="0"/>
                  <w:divBdr>
                    <w:top w:val="none" w:sz="0" w:space="0" w:color="auto"/>
                    <w:left w:val="none" w:sz="0" w:space="0" w:color="auto"/>
                    <w:bottom w:val="none" w:sz="0" w:space="0" w:color="auto"/>
                    <w:right w:val="none" w:sz="0" w:space="0" w:color="auto"/>
                  </w:divBdr>
                  <w:divsChild>
                    <w:div w:id="1319193373">
                      <w:marLeft w:val="0"/>
                      <w:marRight w:val="0"/>
                      <w:marTop w:val="0"/>
                      <w:marBottom w:val="0"/>
                      <w:divBdr>
                        <w:top w:val="none" w:sz="0" w:space="0" w:color="auto"/>
                        <w:left w:val="none" w:sz="0" w:space="0" w:color="auto"/>
                        <w:bottom w:val="none" w:sz="0" w:space="0" w:color="auto"/>
                        <w:right w:val="none" w:sz="0" w:space="0" w:color="auto"/>
                      </w:divBdr>
                      <w:divsChild>
                        <w:div w:id="1307466604">
                          <w:marLeft w:val="0"/>
                          <w:marRight w:val="0"/>
                          <w:marTop w:val="0"/>
                          <w:marBottom w:val="0"/>
                          <w:divBdr>
                            <w:top w:val="none" w:sz="0" w:space="0" w:color="auto"/>
                            <w:left w:val="none" w:sz="0" w:space="0" w:color="auto"/>
                            <w:bottom w:val="none" w:sz="0" w:space="0" w:color="auto"/>
                            <w:right w:val="none" w:sz="0" w:space="0" w:color="auto"/>
                          </w:divBdr>
                          <w:divsChild>
                            <w:div w:id="683819785">
                              <w:marLeft w:val="0"/>
                              <w:marRight w:val="0"/>
                              <w:marTop w:val="0"/>
                              <w:marBottom w:val="0"/>
                              <w:divBdr>
                                <w:top w:val="none" w:sz="0" w:space="0" w:color="auto"/>
                                <w:left w:val="none" w:sz="0" w:space="0" w:color="auto"/>
                                <w:bottom w:val="none" w:sz="0" w:space="0" w:color="auto"/>
                                <w:right w:val="none" w:sz="0" w:space="0" w:color="auto"/>
                              </w:divBdr>
                              <w:divsChild>
                                <w:div w:id="1033117466">
                                  <w:marLeft w:val="0"/>
                                  <w:marRight w:val="0"/>
                                  <w:marTop w:val="0"/>
                                  <w:marBottom w:val="0"/>
                                  <w:divBdr>
                                    <w:top w:val="none" w:sz="0" w:space="0" w:color="auto"/>
                                    <w:left w:val="none" w:sz="0" w:space="0" w:color="auto"/>
                                    <w:bottom w:val="none" w:sz="0" w:space="0" w:color="auto"/>
                                    <w:right w:val="none" w:sz="0" w:space="0" w:color="auto"/>
                                  </w:divBdr>
                                  <w:divsChild>
                                    <w:div w:id="298465215">
                                      <w:marLeft w:val="0"/>
                                      <w:marRight w:val="0"/>
                                      <w:marTop w:val="0"/>
                                      <w:marBottom w:val="0"/>
                                      <w:divBdr>
                                        <w:top w:val="none" w:sz="0" w:space="0" w:color="auto"/>
                                        <w:left w:val="none" w:sz="0" w:space="0" w:color="auto"/>
                                        <w:bottom w:val="none" w:sz="0" w:space="0" w:color="auto"/>
                                        <w:right w:val="none" w:sz="0" w:space="0" w:color="auto"/>
                                      </w:divBdr>
                                    </w:div>
                                    <w:div w:id="1030183608">
                                      <w:marLeft w:val="0"/>
                                      <w:marRight w:val="0"/>
                                      <w:marTop w:val="0"/>
                                      <w:marBottom w:val="0"/>
                                      <w:divBdr>
                                        <w:top w:val="none" w:sz="0" w:space="0" w:color="auto"/>
                                        <w:left w:val="none" w:sz="0" w:space="0" w:color="auto"/>
                                        <w:bottom w:val="none" w:sz="0" w:space="0" w:color="auto"/>
                                        <w:right w:val="none" w:sz="0" w:space="0" w:color="auto"/>
                                      </w:divBdr>
                                    </w:div>
                                    <w:div w:id="155570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7415454">
      <w:bodyDiv w:val="1"/>
      <w:marLeft w:val="0"/>
      <w:marRight w:val="0"/>
      <w:marTop w:val="0"/>
      <w:marBottom w:val="0"/>
      <w:divBdr>
        <w:top w:val="none" w:sz="0" w:space="0" w:color="auto"/>
        <w:left w:val="none" w:sz="0" w:space="0" w:color="auto"/>
        <w:bottom w:val="none" w:sz="0" w:space="0" w:color="auto"/>
        <w:right w:val="none" w:sz="0" w:space="0" w:color="auto"/>
      </w:divBdr>
    </w:div>
    <w:div w:id="1323848699">
      <w:bodyDiv w:val="1"/>
      <w:marLeft w:val="0"/>
      <w:marRight w:val="0"/>
      <w:marTop w:val="0"/>
      <w:marBottom w:val="0"/>
      <w:divBdr>
        <w:top w:val="none" w:sz="0" w:space="0" w:color="auto"/>
        <w:left w:val="none" w:sz="0" w:space="0" w:color="auto"/>
        <w:bottom w:val="none" w:sz="0" w:space="0" w:color="auto"/>
        <w:right w:val="none" w:sz="0" w:space="0" w:color="auto"/>
      </w:divBdr>
    </w:div>
    <w:div w:id="1428308385">
      <w:bodyDiv w:val="1"/>
      <w:marLeft w:val="0"/>
      <w:marRight w:val="0"/>
      <w:marTop w:val="0"/>
      <w:marBottom w:val="0"/>
      <w:divBdr>
        <w:top w:val="none" w:sz="0" w:space="0" w:color="auto"/>
        <w:left w:val="none" w:sz="0" w:space="0" w:color="auto"/>
        <w:bottom w:val="none" w:sz="0" w:space="0" w:color="auto"/>
        <w:right w:val="none" w:sz="0" w:space="0" w:color="auto"/>
      </w:divBdr>
    </w:div>
    <w:div w:id="1636835662">
      <w:bodyDiv w:val="1"/>
      <w:marLeft w:val="0"/>
      <w:marRight w:val="0"/>
      <w:marTop w:val="0"/>
      <w:marBottom w:val="0"/>
      <w:divBdr>
        <w:top w:val="none" w:sz="0" w:space="0" w:color="auto"/>
        <w:left w:val="none" w:sz="0" w:space="0" w:color="auto"/>
        <w:bottom w:val="none" w:sz="0" w:space="0" w:color="auto"/>
        <w:right w:val="none" w:sz="0" w:space="0" w:color="auto"/>
      </w:divBdr>
    </w:div>
    <w:div w:id="1652905112">
      <w:bodyDiv w:val="1"/>
      <w:marLeft w:val="0"/>
      <w:marRight w:val="0"/>
      <w:marTop w:val="0"/>
      <w:marBottom w:val="0"/>
      <w:divBdr>
        <w:top w:val="none" w:sz="0" w:space="0" w:color="auto"/>
        <w:left w:val="none" w:sz="0" w:space="0" w:color="auto"/>
        <w:bottom w:val="none" w:sz="0" w:space="0" w:color="auto"/>
        <w:right w:val="none" w:sz="0" w:space="0" w:color="auto"/>
      </w:divBdr>
    </w:div>
    <w:div w:id="1678579996">
      <w:bodyDiv w:val="1"/>
      <w:marLeft w:val="0"/>
      <w:marRight w:val="0"/>
      <w:marTop w:val="0"/>
      <w:marBottom w:val="0"/>
      <w:divBdr>
        <w:top w:val="none" w:sz="0" w:space="0" w:color="auto"/>
        <w:left w:val="none" w:sz="0" w:space="0" w:color="auto"/>
        <w:bottom w:val="none" w:sz="0" w:space="0" w:color="auto"/>
        <w:right w:val="none" w:sz="0" w:space="0" w:color="auto"/>
      </w:divBdr>
      <w:divsChild>
        <w:div w:id="1334913335">
          <w:marLeft w:val="0"/>
          <w:marRight w:val="0"/>
          <w:marTop w:val="0"/>
          <w:marBottom w:val="0"/>
          <w:divBdr>
            <w:top w:val="none" w:sz="0" w:space="0" w:color="auto"/>
            <w:left w:val="none" w:sz="0" w:space="0" w:color="auto"/>
            <w:bottom w:val="none" w:sz="0" w:space="0" w:color="auto"/>
            <w:right w:val="none" w:sz="0" w:space="0" w:color="auto"/>
          </w:divBdr>
          <w:divsChild>
            <w:div w:id="1845049407">
              <w:marLeft w:val="0"/>
              <w:marRight w:val="0"/>
              <w:marTop w:val="0"/>
              <w:marBottom w:val="0"/>
              <w:divBdr>
                <w:top w:val="none" w:sz="0" w:space="0" w:color="auto"/>
                <w:left w:val="none" w:sz="0" w:space="0" w:color="auto"/>
                <w:bottom w:val="none" w:sz="0" w:space="0" w:color="auto"/>
                <w:right w:val="none" w:sz="0" w:space="0" w:color="auto"/>
              </w:divBdr>
            </w:div>
          </w:divsChild>
        </w:div>
        <w:div w:id="2004626451">
          <w:marLeft w:val="0"/>
          <w:marRight w:val="0"/>
          <w:marTop w:val="0"/>
          <w:marBottom w:val="0"/>
          <w:divBdr>
            <w:top w:val="none" w:sz="0" w:space="0" w:color="auto"/>
            <w:left w:val="none" w:sz="0" w:space="0" w:color="auto"/>
            <w:bottom w:val="none" w:sz="0" w:space="0" w:color="auto"/>
            <w:right w:val="none" w:sz="0" w:space="0" w:color="auto"/>
          </w:divBdr>
          <w:divsChild>
            <w:div w:id="1054960741">
              <w:marLeft w:val="0"/>
              <w:marRight w:val="0"/>
              <w:marTop w:val="0"/>
              <w:marBottom w:val="0"/>
              <w:divBdr>
                <w:top w:val="none" w:sz="0" w:space="0" w:color="auto"/>
                <w:left w:val="none" w:sz="0" w:space="0" w:color="auto"/>
                <w:bottom w:val="none" w:sz="0" w:space="0" w:color="auto"/>
                <w:right w:val="none" w:sz="0" w:space="0" w:color="auto"/>
              </w:divBdr>
              <w:divsChild>
                <w:div w:id="432045623">
                  <w:marLeft w:val="0"/>
                  <w:marRight w:val="0"/>
                  <w:marTop w:val="0"/>
                  <w:marBottom w:val="0"/>
                  <w:divBdr>
                    <w:top w:val="none" w:sz="0" w:space="0" w:color="auto"/>
                    <w:left w:val="none" w:sz="0" w:space="0" w:color="auto"/>
                    <w:bottom w:val="none" w:sz="0" w:space="0" w:color="auto"/>
                    <w:right w:val="none" w:sz="0" w:space="0" w:color="auto"/>
                  </w:divBdr>
                  <w:divsChild>
                    <w:div w:id="1180194356">
                      <w:marLeft w:val="0"/>
                      <w:marRight w:val="0"/>
                      <w:marTop w:val="0"/>
                      <w:marBottom w:val="0"/>
                      <w:divBdr>
                        <w:top w:val="none" w:sz="0" w:space="0" w:color="auto"/>
                        <w:left w:val="none" w:sz="0" w:space="0" w:color="auto"/>
                        <w:bottom w:val="none" w:sz="0" w:space="0" w:color="auto"/>
                        <w:right w:val="none" w:sz="0" w:space="0" w:color="auto"/>
                      </w:divBdr>
                    </w:div>
                    <w:div w:id="687831621">
                      <w:marLeft w:val="0"/>
                      <w:marRight w:val="0"/>
                      <w:marTop w:val="0"/>
                      <w:marBottom w:val="0"/>
                      <w:divBdr>
                        <w:top w:val="none" w:sz="0" w:space="0" w:color="auto"/>
                        <w:left w:val="none" w:sz="0" w:space="0" w:color="auto"/>
                        <w:bottom w:val="none" w:sz="0" w:space="0" w:color="auto"/>
                        <w:right w:val="none" w:sz="0" w:space="0" w:color="auto"/>
                      </w:divBdr>
                    </w:div>
                    <w:div w:id="1277325316">
                      <w:marLeft w:val="0"/>
                      <w:marRight w:val="0"/>
                      <w:marTop w:val="0"/>
                      <w:marBottom w:val="0"/>
                      <w:divBdr>
                        <w:top w:val="none" w:sz="0" w:space="0" w:color="auto"/>
                        <w:left w:val="none" w:sz="0" w:space="0" w:color="auto"/>
                        <w:bottom w:val="none" w:sz="0" w:space="0" w:color="auto"/>
                        <w:right w:val="none" w:sz="0" w:space="0" w:color="auto"/>
                      </w:divBdr>
                    </w:div>
                    <w:div w:id="2106614083">
                      <w:marLeft w:val="0"/>
                      <w:marRight w:val="0"/>
                      <w:marTop w:val="0"/>
                      <w:marBottom w:val="0"/>
                      <w:divBdr>
                        <w:top w:val="none" w:sz="0" w:space="0" w:color="auto"/>
                        <w:left w:val="none" w:sz="0" w:space="0" w:color="auto"/>
                        <w:bottom w:val="none" w:sz="0" w:space="0" w:color="auto"/>
                        <w:right w:val="none" w:sz="0" w:space="0" w:color="auto"/>
                      </w:divBdr>
                    </w:div>
                    <w:div w:id="193902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872633">
      <w:bodyDiv w:val="1"/>
      <w:marLeft w:val="0"/>
      <w:marRight w:val="0"/>
      <w:marTop w:val="0"/>
      <w:marBottom w:val="0"/>
      <w:divBdr>
        <w:top w:val="none" w:sz="0" w:space="0" w:color="auto"/>
        <w:left w:val="none" w:sz="0" w:space="0" w:color="auto"/>
        <w:bottom w:val="none" w:sz="0" w:space="0" w:color="auto"/>
        <w:right w:val="none" w:sz="0" w:space="0" w:color="auto"/>
      </w:divBdr>
    </w:div>
    <w:div w:id="1986086410">
      <w:bodyDiv w:val="1"/>
      <w:marLeft w:val="0"/>
      <w:marRight w:val="0"/>
      <w:marTop w:val="0"/>
      <w:marBottom w:val="0"/>
      <w:divBdr>
        <w:top w:val="none" w:sz="0" w:space="0" w:color="auto"/>
        <w:left w:val="none" w:sz="0" w:space="0" w:color="auto"/>
        <w:bottom w:val="none" w:sz="0" w:space="0" w:color="auto"/>
        <w:right w:val="none" w:sz="0" w:space="0" w:color="auto"/>
      </w:divBdr>
    </w:div>
    <w:div w:id="2006669424">
      <w:bodyDiv w:val="1"/>
      <w:marLeft w:val="0"/>
      <w:marRight w:val="0"/>
      <w:marTop w:val="0"/>
      <w:marBottom w:val="0"/>
      <w:divBdr>
        <w:top w:val="none" w:sz="0" w:space="0" w:color="auto"/>
        <w:left w:val="none" w:sz="0" w:space="0" w:color="auto"/>
        <w:bottom w:val="none" w:sz="0" w:space="0" w:color="auto"/>
        <w:right w:val="none" w:sz="0" w:space="0" w:color="auto"/>
      </w:divBdr>
      <w:divsChild>
        <w:div w:id="1745058558">
          <w:marLeft w:val="0"/>
          <w:marRight w:val="0"/>
          <w:marTop w:val="0"/>
          <w:marBottom w:val="0"/>
          <w:divBdr>
            <w:top w:val="none" w:sz="0" w:space="0" w:color="auto"/>
            <w:left w:val="none" w:sz="0" w:space="0" w:color="auto"/>
            <w:bottom w:val="none" w:sz="0" w:space="0" w:color="auto"/>
            <w:right w:val="none" w:sz="0" w:space="0" w:color="auto"/>
          </w:divBdr>
          <w:divsChild>
            <w:div w:id="954673988">
              <w:marLeft w:val="0"/>
              <w:marRight w:val="0"/>
              <w:marTop w:val="0"/>
              <w:marBottom w:val="0"/>
              <w:divBdr>
                <w:top w:val="single" w:sz="8" w:space="3" w:color="E1E1E1"/>
                <w:left w:val="none" w:sz="0" w:space="0" w:color="auto"/>
                <w:bottom w:val="none" w:sz="0" w:space="0" w:color="auto"/>
                <w:right w:val="none" w:sz="0" w:space="0" w:color="auto"/>
              </w:divBdr>
            </w:div>
          </w:divsChild>
        </w:div>
        <w:div w:id="410466918">
          <w:marLeft w:val="0"/>
          <w:marRight w:val="0"/>
          <w:marTop w:val="0"/>
          <w:marBottom w:val="0"/>
          <w:divBdr>
            <w:top w:val="none" w:sz="0" w:space="0" w:color="auto"/>
            <w:left w:val="none" w:sz="0" w:space="0" w:color="auto"/>
            <w:bottom w:val="none" w:sz="0" w:space="0" w:color="auto"/>
            <w:right w:val="none" w:sz="0" w:space="0" w:color="auto"/>
          </w:divBdr>
          <w:divsChild>
            <w:div w:id="182668922">
              <w:marLeft w:val="0"/>
              <w:marRight w:val="0"/>
              <w:marTop w:val="0"/>
              <w:marBottom w:val="0"/>
              <w:divBdr>
                <w:top w:val="none" w:sz="0" w:space="0" w:color="auto"/>
                <w:left w:val="none" w:sz="0" w:space="0" w:color="auto"/>
                <w:bottom w:val="none" w:sz="0" w:space="0" w:color="auto"/>
                <w:right w:val="none" w:sz="0" w:space="0" w:color="auto"/>
              </w:divBdr>
            </w:div>
            <w:div w:id="881598311">
              <w:marLeft w:val="0"/>
              <w:marRight w:val="0"/>
              <w:marTop w:val="0"/>
              <w:marBottom w:val="0"/>
              <w:divBdr>
                <w:top w:val="none" w:sz="0" w:space="0" w:color="auto"/>
                <w:left w:val="none" w:sz="0" w:space="0" w:color="auto"/>
                <w:bottom w:val="none" w:sz="0" w:space="0" w:color="auto"/>
                <w:right w:val="none" w:sz="0" w:space="0" w:color="auto"/>
              </w:divBdr>
            </w:div>
            <w:div w:id="1399592790">
              <w:marLeft w:val="0"/>
              <w:marRight w:val="0"/>
              <w:marTop w:val="0"/>
              <w:marBottom w:val="0"/>
              <w:divBdr>
                <w:top w:val="none" w:sz="0" w:space="0" w:color="auto"/>
                <w:left w:val="none" w:sz="0" w:space="0" w:color="auto"/>
                <w:bottom w:val="none" w:sz="0" w:space="0" w:color="auto"/>
                <w:right w:val="none" w:sz="0" w:space="0" w:color="auto"/>
              </w:divBdr>
            </w:div>
            <w:div w:id="1407342395">
              <w:marLeft w:val="0"/>
              <w:marRight w:val="0"/>
              <w:marTop w:val="0"/>
              <w:marBottom w:val="0"/>
              <w:divBdr>
                <w:top w:val="none" w:sz="0" w:space="0" w:color="auto"/>
                <w:left w:val="none" w:sz="0" w:space="0" w:color="auto"/>
                <w:bottom w:val="none" w:sz="0" w:space="0" w:color="auto"/>
                <w:right w:val="none" w:sz="0" w:space="0" w:color="auto"/>
              </w:divBdr>
            </w:div>
            <w:div w:id="73941277">
              <w:marLeft w:val="0"/>
              <w:marRight w:val="0"/>
              <w:marTop w:val="0"/>
              <w:marBottom w:val="0"/>
              <w:divBdr>
                <w:top w:val="none" w:sz="0" w:space="0" w:color="auto"/>
                <w:left w:val="none" w:sz="0" w:space="0" w:color="auto"/>
                <w:bottom w:val="none" w:sz="0" w:space="0" w:color="auto"/>
                <w:right w:val="none" w:sz="0" w:space="0" w:color="auto"/>
              </w:divBdr>
            </w:div>
            <w:div w:id="5540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7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3.xml"/><Relationship Id="rId21" Type="http://schemas.openxmlformats.org/officeDocument/2006/relationships/image" Target="media/image10.png"/><Relationship Id="rId34" Type="http://schemas.openxmlformats.org/officeDocument/2006/relationships/hyperlink" Target="http://shropshire.gov.uk/get-involved/reg-19-pre-submission-draft-local-plan/" TargetMode="External"/><Relationship Id="rId42" Type="http://schemas.openxmlformats.org/officeDocument/2006/relationships/image" Target="media/image21.png"/><Relationship Id="rId47" Type="http://schemas.openxmlformats.org/officeDocument/2006/relationships/chart" Target="charts/chart5.xml"/><Relationship Id="rId50" Type="http://schemas.openxmlformats.org/officeDocument/2006/relationships/chart" Target="charts/chart8.xml"/><Relationship Id="rId55" Type="http://schemas.openxmlformats.org/officeDocument/2006/relationships/chart" Target="charts/chart13.xml"/><Relationship Id="rId63" Type="http://schemas.openxmlformats.org/officeDocument/2006/relationships/image" Target="media/image27.png"/><Relationship Id="rId68" Type="http://schemas.openxmlformats.org/officeDocument/2006/relationships/image" Target="media/image32.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header" Target="header3.xml"/><Relationship Id="rId37" Type="http://schemas.openxmlformats.org/officeDocument/2006/relationships/header" Target="header6.xml"/><Relationship Id="rId40" Type="http://schemas.openxmlformats.org/officeDocument/2006/relationships/header" Target="header8.xml"/><Relationship Id="rId45" Type="http://schemas.openxmlformats.org/officeDocument/2006/relationships/chart" Target="charts/chart3.xml"/><Relationship Id="rId53" Type="http://schemas.openxmlformats.org/officeDocument/2006/relationships/chart" Target="charts/chart11.xml"/><Relationship Id="rId58" Type="http://schemas.openxmlformats.org/officeDocument/2006/relationships/header" Target="header9.xml"/><Relationship Id="rId66"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0.emf"/><Relationship Id="rId49" Type="http://schemas.openxmlformats.org/officeDocument/2006/relationships/chart" Target="charts/chart7.xml"/><Relationship Id="rId57" Type="http://schemas.openxmlformats.org/officeDocument/2006/relationships/chart" Target="charts/chart15.xml"/><Relationship Id="rId61" Type="http://schemas.openxmlformats.org/officeDocument/2006/relationships/image" Target="media/image25.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hyperlink" Target="https://assets.publishing.service.gov.uk/government/uploads/system/uploads/attachment_data/file/100807/file47158.pdf" TargetMode="External"/><Relationship Id="rId44" Type="http://schemas.openxmlformats.org/officeDocument/2006/relationships/image" Target="media/image22.png"/><Relationship Id="rId52" Type="http://schemas.openxmlformats.org/officeDocument/2006/relationships/chart" Target="charts/chart10.xml"/><Relationship Id="rId60" Type="http://schemas.openxmlformats.org/officeDocument/2006/relationships/image" Target="media/image24.png"/><Relationship Id="rId65"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chart" Target="charts/chart1.xml"/><Relationship Id="rId30" Type="http://schemas.openxmlformats.org/officeDocument/2006/relationships/image" Target="media/image18.png"/><Relationship Id="rId35" Type="http://schemas.openxmlformats.org/officeDocument/2006/relationships/header" Target="header5.xml"/><Relationship Id="rId43" Type="http://schemas.openxmlformats.org/officeDocument/2006/relationships/chart" Target="charts/chart2.xml"/><Relationship Id="rId48" Type="http://schemas.openxmlformats.org/officeDocument/2006/relationships/chart" Target="charts/chart6.xml"/><Relationship Id="rId56" Type="http://schemas.openxmlformats.org/officeDocument/2006/relationships/chart" Target="charts/chart14.xml"/><Relationship Id="rId64" Type="http://schemas.openxmlformats.org/officeDocument/2006/relationships/image" Target="media/image28.png"/><Relationship Id="rId69" Type="http://schemas.openxmlformats.org/officeDocument/2006/relationships/header" Target="header10.xml"/><Relationship Id="rId8" Type="http://schemas.openxmlformats.org/officeDocument/2006/relationships/image" Target="media/image1.png"/><Relationship Id="rId51" Type="http://schemas.openxmlformats.org/officeDocument/2006/relationships/chart" Target="charts/chart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eader" Target="header4.xml"/><Relationship Id="rId38" Type="http://schemas.openxmlformats.org/officeDocument/2006/relationships/header" Target="header7.xml"/><Relationship Id="rId46" Type="http://schemas.openxmlformats.org/officeDocument/2006/relationships/chart" Target="charts/chart4.xm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image" Target="media/image9.png"/><Relationship Id="rId41" Type="http://schemas.openxmlformats.org/officeDocument/2006/relationships/footer" Target="footer4.xml"/><Relationship Id="rId54" Type="http://schemas.openxmlformats.org/officeDocument/2006/relationships/chart" Target="charts/chart12.xml"/><Relationship Id="rId62" Type="http://schemas.openxmlformats.org/officeDocument/2006/relationships/image" Target="media/image26.pn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shropshire.gov.uk/planning-policy/local-planning/local-plan-review/evidence-base/" TargetMode="External"/><Relationship Id="rId13" Type="http://schemas.openxmlformats.org/officeDocument/2006/relationships/hyperlink" Target="https://www.shropshirehillsaonb.co.uk/" TargetMode="External"/><Relationship Id="rId18" Type="http://schemas.openxmlformats.org/officeDocument/2006/relationships/hyperlink" Target="https://assets.publishing.service.gov.uk/government/uploads/system/uploads/attachment_data/file/904146/gear-change-a-bold-vision-for-cycling-and-walking.pdf" TargetMode="External"/><Relationship Id="rId3" Type="http://schemas.openxmlformats.org/officeDocument/2006/relationships/hyperlink" Target="https://shropshire.gov.uk/climate-change-and-sustainability/climate-change-strategy/" TargetMode="External"/><Relationship Id="rId7" Type="http://schemas.openxmlformats.org/officeDocument/2006/relationships/hyperlink" Target="https://www.shropshire.gov.uk/planning-policy/local-planning/local-plan-review/evidence-base/" TargetMode="External"/><Relationship Id="rId12" Type="http://schemas.openxmlformats.org/officeDocument/2006/relationships/hyperlink" Target="https://www.gov.uk/government/consultations/the-future-homes-standard-changes-to-part-l-and-part-f-of-the-building-regulations-for-new-dwellings" TargetMode="External"/><Relationship Id="rId17" Type="http://schemas.openxmlformats.org/officeDocument/2006/relationships/hyperlink" Target="https://www.theccc.org.uk/wp-content/uploads/2020/12/Sector-summary-Surface-transport.pdf" TargetMode="External"/><Relationship Id="rId2" Type="http://schemas.openxmlformats.org/officeDocument/2006/relationships/hyperlink" Target="https://shropshire.gov.uk/committee-services/ieListDocuments.aspx?CId=125&amp;MId=4137&amp;Ver=4" TargetMode="External"/><Relationship Id="rId16" Type="http://schemas.openxmlformats.org/officeDocument/2006/relationships/hyperlink" Target="https://www.cse.org.uk/projects/view/1363" TargetMode="External"/><Relationship Id="rId1" Type="http://schemas.openxmlformats.org/officeDocument/2006/relationships/hyperlink" Target="https://zerocarbonshropshire.org/zcsplan/" TargetMode="External"/><Relationship Id="rId6" Type="http://schemas.openxmlformats.org/officeDocument/2006/relationships/hyperlink" Target="https://www.gov.uk/government/publications/independent-review-of-build-out-final-report" TargetMode="External"/><Relationship Id="rId11" Type="http://schemas.openxmlformats.org/officeDocument/2006/relationships/hyperlink" Target="https://www.cpre.org.uk/resources/state-of-the-green-belt-2021/" TargetMode="External"/><Relationship Id="rId5" Type="http://schemas.openxmlformats.org/officeDocument/2006/relationships/hyperlink" Target="https://newsroom.shropshire.gov.uk/partner-news/scap-zero-carbon-strategy/" TargetMode="External"/><Relationship Id="rId15" Type="http://schemas.openxmlformats.org/officeDocument/2006/relationships/hyperlink" Target="https://assets.publishing.service.gov.uk/government/uploads/system/uploads/attachment_data/file/225689/Planning_Practice_Guidance_for_Renewable_and_Low_Carbon_Energy.pdf" TargetMode="External"/><Relationship Id="rId10" Type="http://schemas.openxmlformats.org/officeDocument/2006/relationships/hyperlink" Target="https://www.righthomerightplace.co.uk/" TargetMode="External"/><Relationship Id="rId19" Type="http://schemas.openxmlformats.org/officeDocument/2006/relationships/hyperlink" Target="https://www.rtpi.org.uk/research/2020/june/net-zero-transport-the-role-of-spatial-planning-and-place-based-solutions/" TargetMode="External"/><Relationship Id="rId4" Type="http://schemas.openxmlformats.org/officeDocument/2006/relationships/hyperlink" Target="https://zerocarbonshropshire.org/zcsplan/" TargetMode="External"/><Relationship Id="rId9" Type="http://schemas.openxmlformats.org/officeDocument/2006/relationships/hyperlink" Target="https://shropshire.gov.uk/media/7231/amr-2017-18.pdf" TargetMode="External"/><Relationship Id="rId14" Type="http://schemas.openxmlformats.org/officeDocument/2006/relationships/hyperlink" Target="https://zerocarbonshropshire.org/wp-content/uploads/Zero-Carbon-Shropshire-Plan.pdf" TargetMode="External"/></Relationships>
</file>

<file path=word/_rels/header5.xml.rels><?xml version="1.0" encoding="UTF-8" standalone="yes"?>
<Relationships xmlns="http://schemas.openxmlformats.org/package/2006/relationships"><Relationship Id="rId1"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Charles%20Green\Documents\CPRE\2017%201.%20SC%20LDP%20partial%20review\1%20Issues%20and%20Options\Responses\Spreadsheet%20analysis\18-06-26%20I&amp;O%20Response%20Analysis.xls"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UK Housing completions 1949 - 2016</a:t>
            </a:r>
          </a:p>
        </c:rich>
      </c:tx>
      <c:layout>
        <c:manualLayout>
          <c:xMode val="edge"/>
          <c:yMode val="edge"/>
          <c:x val="0.52024691358024688"/>
          <c:y val="4.733727390550081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368569553805774"/>
          <c:y val="2.5428331875182269E-2"/>
          <c:w val="0.83726730339263156"/>
          <c:h val="0.82033703003068137"/>
        </c:manualLayout>
      </c:layout>
      <c:barChart>
        <c:barDir val="col"/>
        <c:grouping val="stacked"/>
        <c:varyColors val="0"/>
        <c:ser>
          <c:idx val="4"/>
          <c:order val="2"/>
          <c:tx>
            <c:v>Local Authorities</c:v>
          </c:tx>
          <c:spPr>
            <a:solidFill>
              <a:srgbClr val="C00000"/>
            </a:solidFill>
            <a:ln>
              <a:noFill/>
            </a:ln>
            <a:effectLst/>
          </c:spPr>
          <c:invertIfNegative val="0"/>
          <c:cat>
            <c:numRef>
              <c:f>LiveTable241!$A$8:$A$74</c:f>
              <c:numCache>
                <c:formatCode>General</c:formatCode>
                <c:ptCount val="67"/>
                <c:pt idx="0">
                  <c:v>1949</c:v>
                </c:pt>
                <c:pt idx="1">
                  <c:v>1950</c:v>
                </c:pt>
                <c:pt idx="2">
                  <c:v>1951</c:v>
                </c:pt>
                <c:pt idx="3">
                  <c:v>1952</c:v>
                </c:pt>
                <c:pt idx="4">
                  <c:v>1953</c:v>
                </c:pt>
                <c:pt idx="5">
                  <c:v>1954</c:v>
                </c:pt>
                <c:pt idx="6">
                  <c:v>1955</c:v>
                </c:pt>
                <c:pt idx="7">
                  <c:v>1956</c:v>
                </c:pt>
                <c:pt idx="8">
                  <c:v>1957</c:v>
                </c:pt>
                <c:pt idx="9">
                  <c:v>1958</c:v>
                </c:pt>
                <c:pt idx="10">
                  <c:v>1959</c:v>
                </c:pt>
                <c:pt idx="11">
                  <c:v>1960</c:v>
                </c:pt>
                <c:pt idx="12">
                  <c:v>1961</c:v>
                </c:pt>
                <c:pt idx="13">
                  <c:v>1962</c:v>
                </c:pt>
                <c:pt idx="14">
                  <c:v>1963</c:v>
                </c:pt>
                <c:pt idx="15">
                  <c:v>1964</c:v>
                </c:pt>
                <c:pt idx="16">
                  <c:v>1965</c:v>
                </c:pt>
                <c:pt idx="17">
                  <c:v>1966</c:v>
                </c:pt>
                <c:pt idx="18">
                  <c:v>1967</c:v>
                </c:pt>
                <c:pt idx="19">
                  <c:v>1968</c:v>
                </c:pt>
                <c:pt idx="20">
                  <c:v>1969</c:v>
                </c:pt>
                <c:pt idx="21">
                  <c:v>1970</c:v>
                </c:pt>
                <c:pt idx="22">
                  <c:v>1971</c:v>
                </c:pt>
                <c:pt idx="23">
                  <c:v>1972</c:v>
                </c:pt>
                <c:pt idx="24">
                  <c:v>1973</c:v>
                </c:pt>
                <c:pt idx="25">
                  <c:v>1974</c:v>
                </c:pt>
                <c:pt idx="26">
                  <c:v>1975</c:v>
                </c:pt>
                <c:pt idx="27">
                  <c:v>1976</c:v>
                </c:pt>
                <c:pt idx="28">
                  <c:v>1977</c:v>
                </c:pt>
                <c:pt idx="29">
                  <c:v>1978</c:v>
                </c:pt>
                <c:pt idx="30">
                  <c:v>1979</c:v>
                </c:pt>
                <c:pt idx="31">
                  <c:v>1980</c:v>
                </c:pt>
                <c:pt idx="32">
                  <c:v>1981</c:v>
                </c:pt>
                <c:pt idx="33">
                  <c:v>1982</c:v>
                </c:pt>
                <c:pt idx="34">
                  <c:v>1983</c:v>
                </c:pt>
                <c:pt idx="35">
                  <c:v>1984</c:v>
                </c:pt>
                <c:pt idx="36">
                  <c:v>1985</c:v>
                </c:pt>
                <c:pt idx="37">
                  <c:v>1986</c:v>
                </c:pt>
                <c:pt idx="38">
                  <c:v>1987</c:v>
                </c:pt>
                <c:pt idx="39">
                  <c:v>1988</c:v>
                </c:pt>
                <c:pt idx="40">
                  <c:v>1989</c:v>
                </c:pt>
                <c:pt idx="41">
                  <c:v>1990</c:v>
                </c:pt>
                <c:pt idx="42">
                  <c:v>1991</c:v>
                </c:pt>
                <c:pt idx="43">
                  <c:v>1992</c:v>
                </c:pt>
                <c:pt idx="44">
                  <c:v>1993</c:v>
                </c:pt>
                <c:pt idx="45">
                  <c:v>1994</c:v>
                </c:pt>
                <c:pt idx="46">
                  <c:v>1995</c:v>
                </c:pt>
                <c:pt idx="47">
                  <c:v>1996</c:v>
                </c:pt>
                <c:pt idx="48">
                  <c:v>1997</c:v>
                </c:pt>
                <c:pt idx="49">
                  <c:v>1998</c:v>
                </c:pt>
                <c:pt idx="50">
                  <c:v>1999</c:v>
                </c:pt>
                <c:pt idx="51">
                  <c:v>2000</c:v>
                </c:pt>
                <c:pt idx="52">
                  <c:v>2001</c:v>
                </c:pt>
                <c:pt idx="53">
                  <c:v>2002</c:v>
                </c:pt>
                <c:pt idx="54">
                  <c:v>2003</c:v>
                </c:pt>
                <c:pt idx="55">
                  <c:v>2004</c:v>
                </c:pt>
                <c:pt idx="56">
                  <c:v>2005</c:v>
                </c:pt>
                <c:pt idx="57">
                  <c:v>2006</c:v>
                </c:pt>
                <c:pt idx="58">
                  <c:v>2007</c:v>
                </c:pt>
                <c:pt idx="59">
                  <c:v>2008</c:v>
                </c:pt>
                <c:pt idx="60">
                  <c:v>2009</c:v>
                </c:pt>
                <c:pt idx="61">
                  <c:v>2010</c:v>
                </c:pt>
                <c:pt idx="62">
                  <c:v>2011</c:v>
                </c:pt>
                <c:pt idx="63">
                  <c:v>2012</c:v>
                </c:pt>
                <c:pt idx="64">
                  <c:v>2013</c:v>
                </c:pt>
                <c:pt idx="65">
                  <c:v>2014</c:v>
                </c:pt>
                <c:pt idx="66">
                  <c:v>2015</c:v>
                </c:pt>
              </c:numCache>
            </c:numRef>
          </c:cat>
          <c:val>
            <c:numRef>
              <c:f>LiveTable241!$F$8:$F$75</c:f>
              <c:numCache>
                <c:formatCode>[$-10409]#,##0;\(#,##0\)</c:formatCode>
                <c:ptCount val="68"/>
                <c:pt idx="0">
                  <c:v>168780</c:v>
                </c:pt>
                <c:pt idx="1">
                  <c:v>167900</c:v>
                </c:pt>
                <c:pt idx="2">
                  <c:v>169020</c:v>
                </c:pt>
                <c:pt idx="3">
                  <c:v>201520</c:v>
                </c:pt>
                <c:pt idx="4">
                  <c:v>245160</c:v>
                </c:pt>
                <c:pt idx="5">
                  <c:v>239580</c:v>
                </c:pt>
                <c:pt idx="6">
                  <c:v>195480</c:v>
                </c:pt>
                <c:pt idx="7">
                  <c:v>171390</c:v>
                </c:pt>
                <c:pt idx="8">
                  <c:v>170290</c:v>
                </c:pt>
                <c:pt idx="9">
                  <c:v>140200</c:v>
                </c:pt>
                <c:pt idx="10">
                  <c:v>121880</c:v>
                </c:pt>
                <c:pt idx="11">
                  <c:v>125620</c:v>
                </c:pt>
                <c:pt idx="12">
                  <c:v>116140</c:v>
                </c:pt>
                <c:pt idx="13">
                  <c:v>129410</c:v>
                </c:pt>
                <c:pt idx="14">
                  <c:v>122380</c:v>
                </c:pt>
                <c:pt idx="15">
                  <c:v>152140</c:v>
                </c:pt>
                <c:pt idx="16">
                  <c:v>161710</c:v>
                </c:pt>
                <c:pt idx="17">
                  <c:v>172470</c:v>
                </c:pt>
                <c:pt idx="18">
                  <c:v>196180</c:v>
                </c:pt>
                <c:pt idx="19">
                  <c:v>184450</c:v>
                </c:pt>
                <c:pt idx="20">
                  <c:v>175750</c:v>
                </c:pt>
                <c:pt idx="21">
                  <c:v>172670</c:v>
                </c:pt>
                <c:pt idx="22">
                  <c:v>151670</c:v>
                </c:pt>
                <c:pt idx="23">
                  <c:v>118960</c:v>
                </c:pt>
                <c:pt idx="24">
                  <c:v>101430</c:v>
                </c:pt>
                <c:pt idx="25">
                  <c:v>120540</c:v>
                </c:pt>
                <c:pt idx="26">
                  <c:v>145360</c:v>
                </c:pt>
                <c:pt idx="27">
                  <c:v>146440</c:v>
                </c:pt>
                <c:pt idx="28">
                  <c:v>139540</c:v>
                </c:pt>
                <c:pt idx="29">
                  <c:v>110170</c:v>
                </c:pt>
                <c:pt idx="30">
                  <c:v>86320</c:v>
                </c:pt>
                <c:pt idx="31">
                  <c:v>88530</c:v>
                </c:pt>
                <c:pt idx="32">
                  <c:v>68330</c:v>
                </c:pt>
                <c:pt idx="33">
                  <c:v>40090</c:v>
                </c:pt>
                <c:pt idx="34">
                  <c:v>39170</c:v>
                </c:pt>
                <c:pt idx="35">
                  <c:v>37570</c:v>
                </c:pt>
                <c:pt idx="36">
                  <c:v>30420</c:v>
                </c:pt>
                <c:pt idx="37">
                  <c:v>25380</c:v>
                </c:pt>
                <c:pt idx="38">
                  <c:v>21830</c:v>
                </c:pt>
                <c:pt idx="39">
                  <c:v>21450</c:v>
                </c:pt>
                <c:pt idx="40">
                  <c:v>19320</c:v>
                </c:pt>
                <c:pt idx="41">
                  <c:v>17710</c:v>
                </c:pt>
                <c:pt idx="42">
                  <c:v>11060</c:v>
                </c:pt>
                <c:pt idx="43">
                  <c:v>5660</c:v>
                </c:pt>
                <c:pt idx="44">
                  <c:v>3360</c:v>
                </c:pt>
                <c:pt idx="45">
                  <c:v>2880</c:v>
                </c:pt>
                <c:pt idx="46">
                  <c:v>3430</c:v>
                </c:pt>
                <c:pt idx="47">
                  <c:v>1740</c:v>
                </c:pt>
                <c:pt idx="48">
                  <c:v>1540</c:v>
                </c:pt>
                <c:pt idx="49">
                  <c:v>1100</c:v>
                </c:pt>
                <c:pt idx="50">
                  <c:v>330</c:v>
                </c:pt>
                <c:pt idx="51">
                  <c:v>280</c:v>
                </c:pt>
                <c:pt idx="52">
                  <c:v>360</c:v>
                </c:pt>
                <c:pt idx="53">
                  <c:v>250</c:v>
                </c:pt>
                <c:pt idx="54">
                  <c:v>250</c:v>
                </c:pt>
                <c:pt idx="55">
                  <c:v>130</c:v>
                </c:pt>
                <c:pt idx="56">
                  <c:v>230</c:v>
                </c:pt>
                <c:pt idx="57">
                  <c:v>290</c:v>
                </c:pt>
                <c:pt idx="58">
                  <c:v>280</c:v>
                </c:pt>
                <c:pt idx="59">
                  <c:v>630</c:v>
                </c:pt>
                <c:pt idx="60">
                  <c:v>840</c:v>
                </c:pt>
                <c:pt idx="61">
                  <c:v>1360</c:v>
                </c:pt>
                <c:pt idx="62">
                  <c:v>3100</c:v>
                </c:pt>
                <c:pt idx="63">
                  <c:v>2510</c:v>
                </c:pt>
                <c:pt idx="64">
                  <c:v>2080</c:v>
                </c:pt>
                <c:pt idx="65">
                  <c:v>2150</c:v>
                </c:pt>
                <c:pt idx="66">
                  <c:v>2730</c:v>
                </c:pt>
                <c:pt idx="67">
                  <c:v>3280</c:v>
                </c:pt>
              </c:numCache>
            </c:numRef>
          </c:val>
        </c:ser>
        <c:ser>
          <c:idx val="3"/>
          <c:order val="3"/>
          <c:tx>
            <c:v>Housing Associations</c:v>
          </c:tx>
          <c:spPr>
            <a:solidFill>
              <a:srgbClr val="FFC000"/>
            </a:solidFill>
            <a:ln>
              <a:noFill/>
            </a:ln>
            <a:effectLst/>
          </c:spPr>
          <c:invertIfNegative val="0"/>
          <c:cat>
            <c:numRef>
              <c:f>LiveTable241!$A$8:$A$74</c:f>
              <c:numCache>
                <c:formatCode>General</c:formatCode>
                <c:ptCount val="67"/>
                <c:pt idx="0">
                  <c:v>1949</c:v>
                </c:pt>
                <c:pt idx="1">
                  <c:v>1950</c:v>
                </c:pt>
                <c:pt idx="2">
                  <c:v>1951</c:v>
                </c:pt>
                <c:pt idx="3">
                  <c:v>1952</c:v>
                </c:pt>
                <c:pt idx="4">
                  <c:v>1953</c:v>
                </c:pt>
                <c:pt idx="5">
                  <c:v>1954</c:v>
                </c:pt>
                <c:pt idx="6">
                  <c:v>1955</c:v>
                </c:pt>
                <c:pt idx="7">
                  <c:v>1956</c:v>
                </c:pt>
                <c:pt idx="8">
                  <c:v>1957</c:v>
                </c:pt>
                <c:pt idx="9">
                  <c:v>1958</c:v>
                </c:pt>
                <c:pt idx="10">
                  <c:v>1959</c:v>
                </c:pt>
                <c:pt idx="11">
                  <c:v>1960</c:v>
                </c:pt>
                <c:pt idx="12">
                  <c:v>1961</c:v>
                </c:pt>
                <c:pt idx="13">
                  <c:v>1962</c:v>
                </c:pt>
                <c:pt idx="14">
                  <c:v>1963</c:v>
                </c:pt>
                <c:pt idx="15">
                  <c:v>1964</c:v>
                </c:pt>
                <c:pt idx="16">
                  <c:v>1965</c:v>
                </c:pt>
                <c:pt idx="17">
                  <c:v>1966</c:v>
                </c:pt>
                <c:pt idx="18">
                  <c:v>1967</c:v>
                </c:pt>
                <c:pt idx="19">
                  <c:v>1968</c:v>
                </c:pt>
                <c:pt idx="20">
                  <c:v>1969</c:v>
                </c:pt>
                <c:pt idx="21">
                  <c:v>1970</c:v>
                </c:pt>
                <c:pt idx="22">
                  <c:v>1971</c:v>
                </c:pt>
                <c:pt idx="23">
                  <c:v>1972</c:v>
                </c:pt>
                <c:pt idx="24">
                  <c:v>1973</c:v>
                </c:pt>
                <c:pt idx="25">
                  <c:v>1974</c:v>
                </c:pt>
                <c:pt idx="26">
                  <c:v>1975</c:v>
                </c:pt>
                <c:pt idx="27">
                  <c:v>1976</c:v>
                </c:pt>
                <c:pt idx="28">
                  <c:v>1977</c:v>
                </c:pt>
                <c:pt idx="29">
                  <c:v>1978</c:v>
                </c:pt>
                <c:pt idx="30">
                  <c:v>1979</c:v>
                </c:pt>
                <c:pt idx="31">
                  <c:v>1980</c:v>
                </c:pt>
                <c:pt idx="32">
                  <c:v>1981</c:v>
                </c:pt>
                <c:pt idx="33">
                  <c:v>1982</c:v>
                </c:pt>
                <c:pt idx="34">
                  <c:v>1983</c:v>
                </c:pt>
                <c:pt idx="35">
                  <c:v>1984</c:v>
                </c:pt>
                <c:pt idx="36">
                  <c:v>1985</c:v>
                </c:pt>
                <c:pt idx="37">
                  <c:v>1986</c:v>
                </c:pt>
                <c:pt idx="38">
                  <c:v>1987</c:v>
                </c:pt>
                <c:pt idx="39">
                  <c:v>1988</c:v>
                </c:pt>
                <c:pt idx="40">
                  <c:v>1989</c:v>
                </c:pt>
                <c:pt idx="41">
                  <c:v>1990</c:v>
                </c:pt>
                <c:pt idx="42">
                  <c:v>1991</c:v>
                </c:pt>
                <c:pt idx="43">
                  <c:v>1992</c:v>
                </c:pt>
                <c:pt idx="44">
                  <c:v>1993</c:v>
                </c:pt>
                <c:pt idx="45">
                  <c:v>1994</c:v>
                </c:pt>
                <c:pt idx="46">
                  <c:v>1995</c:v>
                </c:pt>
                <c:pt idx="47">
                  <c:v>1996</c:v>
                </c:pt>
                <c:pt idx="48">
                  <c:v>1997</c:v>
                </c:pt>
                <c:pt idx="49">
                  <c:v>1998</c:v>
                </c:pt>
                <c:pt idx="50">
                  <c:v>1999</c:v>
                </c:pt>
                <c:pt idx="51">
                  <c:v>2000</c:v>
                </c:pt>
                <c:pt idx="52">
                  <c:v>2001</c:v>
                </c:pt>
                <c:pt idx="53">
                  <c:v>2002</c:v>
                </c:pt>
                <c:pt idx="54">
                  <c:v>2003</c:v>
                </c:pt>
                <c:pt idx="55">
                  <c:v>2004</c:v>
                </c:pt>
                <c:pt idx="56">
                  <c:v>2005</c:v>
                </c:pt>
                <c:pt idx="57">
                  <c:v>2006</c:v>
                </c:pt>
                <c:pt idx="58">
                  <c:v>2007</c:v>
                </c:pt>
                <c:pt idx="59">
                  <c:v>2008</c:v>
                </c:pt>
                <c:pt idx="60">
                  <c:v>2009</c:v>
                </c:pt>
                <c:pt idx="61">
                  <c:v>2010</c:v>
                </c:pt>
                <c:pt idx="62">
                  <c:v>2011</c:v>
                </c:pt>
                <c:pt idx="63">
                  <c:v>2012</c:v>
                </c:pt>
                <c:pt idx="64">
                  <c:v>2013</c:v>
                </c:pt>
                <c:pt idx="65">
                  <c:v>2014</c:v>
                </c:pt>
                <c:pt idx="66">
                  <c:v>2015</c:v>
                </c:pt>
              </c:numCache>
            </c:numRef>
          </c:cat>
          <c:val>
            <c:numRef>
              <c:f>LiveTable241!$E$8:$E$75</c:f>
              <c:numCache>
                <c:formatCode>[$-10409]#,##0;\(#,##0\)</c:formatCode>
                <c:ptCount val="68"/>
                <c:pt idx="0">
                  <c:v>8020</c:v>
                </c:pt>
                <c:pt idx="1">
                  <c:v>7290</c:v>
                </c:pt>
                <c:pt idx="2">
                  <c:v>7350</c:v>
                </c:pt>
                <c:pt idx="3">
                  <c:v>10130</c:v>
                </c:pt>
                <c:pt idx="4">
                  <c:v>16800</c:v>
                </c:pt>
                <c:pt idx="5">
                  <c:v>22120</c:v>
                </c:pt>
                <c:pt idx="6">
                  <c:v>12850</c:v>
                </c:pt>
                <c:pt idx="7">
                  <c:v>9850</c:v>
                </c:pt>
                <c:pt idx="8">
                  <c:v>8520</c:v>
                </c:pt>
                <c:pt idx="9">
                  <c:v>8220</c:v>
                </c:pt>
                <c:pt idx="10">
                  <c:v>6520</c:v>
                </c:pt>
                <c:pt idx="11">
                  <c:v>7240</c:v>
                </c:pt>
                <c:pt idx="12">
                  <c:v>6320</c:v>
                </c:pt>
                <c:pt idx="13">
                  <c:v>6030</c:v>
                </c:pt>
                <c:pt idx="14">
                  <c:v>7550</c:v>
                </c:pt>
                <c:pt idx="15">
                  <c:v>9790</c:v>
                </c:pt>
                <c:pt idx="16">
                  <c:v>12360</c:v>
                </c:pt>
                <c:pt idx="17">
                  <c:v>14890</c:v>
                </c:pt>
                <c:pt idx="18">
                  <c:v>15070</c:v>
                </c:pt>
                <c:pt idx="19">
                  <c:v>15320</c:v>
                </c:pt>
                <c:pt idx="20">
                  <c:v>16660</c:v>
                </c:pt>
                <c:pt idx="21">
                  <c:v>15210</c:v>
                </c:pt>
                <c:pt idx="22">
                  <c:v>16490</c:v>
                </c:pt>
                <c:pt idx="23">
                  <c:v>11220</c:v>
                </c:pt>
                <c:pt idx="24">
                  <c:v>12130</c:v>
                </c:pt>
                <c:pt idx="25">
                  <c:v>13870</c:v>
                </c:pt>
                <c:pt idx="26">
                  <c:v>22050</c:v>
                </c:pt>
                <c:pt idx="27">
                  <c:v>23100</c:v>
                </c:pt>
                <c:pt idx="28">
                  <c:v>30650</c:v>
                </c:pt>
                <c:pt idx="29">
                  <c:v>26290</c:v>
                </c:pt>
                <c:pt idx="30">
                  <c:v>21390</c:v>
                </c:pt>
                <c:pt idx="31">
                  <c:v>21480</c:v>
                </c:pt>
                <c:pt idx="32">
                  <c:v>19700</c:v>
                </c:pt>
                <c:pt idx="33">
                  <c:v>13740</c:v>
                </c:pt>
                <c:pt idx="34">
                  <c:v>16820</c:v>
                </c:pt>
                <c:pt idx="35">
                  <c:v>17290</c:v>
                </c:pt>
                <c:pt idx="36">
                  <c:v>13650</c:v>
                </c:pt>
                <c:pt idx="37">
                  <c:v>13160</c:v>
                </c:pt>
                <c:pt idx="38">
                  <c:v>13150</c:v>
                </c:pt>
                <c:pt idx="39">
                  <c:v>13490</c:v>
                </c:pt>
                <c:pt idx="40">
                  <c:v>14600</c:v>
                </c:pt>
                <c:pt idx="41">
                  <c:v>17930</c:v>
                </c:pt>
                <c:pt idx="42">
                  <c:v>20820</c:v>
                </c:pt>
                <c:pt idx="43">
                  <c:v>26500</c:v>
                </c:pt>
                <c:pt idx="44">
                  <c:v>35910</c:v>
                </c:pt>
                <c:pt idx="45">
                  <c:v>36860</c:v>
                </c:pt>
                <c:pt idx="46">
                  <c:v>38760</c:v>
                </c:pt>
                <c:pt idx="47">
                  <c:v>32950</c:v>
                </c:pt>
                <c:pt idx="48">
                  <c:v>28340</c:v>
                </c:pt>
                <c:pt idx="49">
                  <c:v>24100</c:v>
                </c:pt>
                <c:pt idx="50">
                  <c:v>23730</c:v>
                </c:pt>
                <c:pt idx="51">
                  <c:v>21990</c:v>
                </c:pt>
                <c:pt idx="52">
                  <c:v>21080</c:v>
                </c:pt>
                <c:pt idx="53">
                  <c:v>18940</c:v>
                </c:pt>
                <c:pt idx="54">
                  <c:v>17620</c:v>
                </c:pt>
                <c:pt idx="55">
                  <c:v>20660</c:v>
                </c:pt>
                <c:pt idx="56">
                  <c:v>23330</c:v>
                </c:pt>
                <c:pt idx="57">
                  <c:v>25980</c:v>
                </c:pt>
                <c:pt idx="58">
                  <c:v>27430</c:v>
                </c:pt>
                <c:pt idx="59">
                  <c:v>31590</c:v>
                </c:pt>
                <c:pt idx="60">
                  <c:v>34790</c:v>
                </c:pt>
                <c:pt idx="61">
                  <c:v>29380</c:v>
                </c:pt>
                <c:pt idx="62">
                  <c:v>32190</c:v>
                </c:pt>
                <c:pt idx="63">
                  <c:v>31400</c:v>
                </c:pt>
                <c:pt idx="64">
                  <c:v>26750</c:v>
                </c:pt>
                <c:pt idx="65">
                  <c:v>27930</c:v>
                </c:pt>
                <c:pt idx="66">
                  <c:v>34960</c:v>
                </c:pt>
                <c:pt idx="67">
                  <c:v>28940</c:v>
                </c:pt>
              </c:numCache>
            </c:numRef>
          </c:val>
        </c:ser>
        <c:ser>
          <c:idx val="2"/>
          <c:order val="4"/>
          <c:tx>
            <c:v>Private enterprise</c:v>
          </c:tx>
          <c:spPr>
            <a:solidFill>
              <a:schemeClr val="tx2">
                <a:lumMod val="60000"/>
                <a:lumOff val="40000"/>
              </a:schemeClr>
            </a:solidFill>
            <a:ln>
              <a:noFill/>
            </a:ln>
            <a:effectLst/>
          </c:spPr>
          <c:invertIfNegative val="0"/>
          <c:cat>
            <c:numRef>
              <c:f>LiveTable241!$A$8:$A$74</c:f>
              <c:numCache>
                <c:formatCode>General</c:formatCode>
                <c:ptCount val="67"/>
                <c:pt idx="0">
                  <c:v>1949</c:v>
                </c:pt>
                <c:pt idx="1">
                  <c:v>1950</c:v>
                </c:pt>
                <c:pt idx="2">
                  <c:v>1951</c:v>
                </c:pt>
                <c:pt idx="3">
                  <c:v>1952</c:v>
                </c:pt>
                <c:pt idx="4">
                  <c:v>1953</c:v>
                </c:pt>
                <c:pt idx="5">
                  <c:v>1954</c:v>
                </c:pt>
                <c:pt idx="6">
                  <c:v>1955</c:v>
                </c:pt>
                <c:pt idx="7">
                  <c:v>1956</c:v>
                </c:pt>
                <c:pt idx="8">
                  <c:v>1957</c:v>
                </c:pt>
                <c:pt idx="9">
                  <c:v>1958</c:v>
                </c:pt>
                <c:pt idx="10">
                  <c:v>1959</c:v>
                </c:pt>
                <c:pt idx="11">
                  <c:v>1960</c:v>
                </c:pt>
                <c:pt idx="12">
                  <c:v>1961</c:v>
                </c:pt>
                <c:pt idx="13">
                  <c:v>1962</c:v>
                </c:pt>
                <c:pt idx="14">
                  <c:v>1963</c:v>
                </c:pt>
                <c:pt idx="15">
                  <c:v>1964</c:v>
                </c:pt>
                <c:pt idx="16">
                  <c:v>1965</c:v>
                </c:pt>
                <c:pt idx="17">
                  <c:v>1966</c:v>
                </c:pt>
                <c:pt idx="18">
                  <c:v>1967</c:v>
                </c:pt>
                <c:pt idx="19">
                  <c:v>1968</c:v>
                </c:pt>
                <c:pt idx="20">
                  <c:v>1969</c:v>
                </c:pt>
                <c:pt idx="21">
                  <c:v>1970</c:v>
                </c:pt>
                <c:pt idx="22">
                  <c:v>1971</c:v>
                </c:pt>
                <c:pt idx="23">
                  <c:v>1972</c:v>
                </c:pt>
                <c:pt idx="24">
                  <c:v>1973</c:v>
                </c:pt>
                <c:pt idx="25">
                  <c:v>1974</c:v>
                </c:pt>
                <c:pt idx="26">
                  <c:v>1975</c:v>
                </c:pt>
                <c:pt idx="27">
                  <c:v>1976</c:v>
                </c:pt>
                <c:pt idx="28">
                  <c:v>1977</c:v>
                </c:pt>
                <c:pt idx="29">
                  <c:v>1978</c:v>
                </c:pt>
                <c:pt idx="30">
                  <c:v>1979</c:v>
                </c:pt>
                <c:pt idx="31">
                  <c:v>1980</c:v>
                </c:pt>
                <c:pt idx="32">
                  <c:v>1981</c:v>
                </c:pt>
                <c:pt idx="33">
                  <c:v>1982</c:v>
                </c:pt>
                <c:pt idx="34">
                  <c:v>1983</c:v>
                </c:pt>
                <c:pt idx="35">
                  <c:v>1984</c:v>
                </c:pt>
                <c:pt idx="36">
                  <c:v>1985</c:v>
                </c:pt>
                <c:pt idx="37">
                  <c:v>1986</c:v>
                </c:pt>
                <c:pt idx="38">
                  <c:v>1987</c:v>
                </c:pt>
                <c:pt idx="39">
                  <c:v>1988</c:v>
                </c:pt>
                <c:pt idx="40">
                  <c:v>1989</c:v>
                </c:pt>
                <c:pt idx="41">
                  <c:v>1990</c:v>
                </c:pt>
                <c:pt idx="42">
                  <c:v>1991</c:v>
                </c:pt>
                <c:pt idx="43">
                  <c:v>1992</c:v>
                </c:pt>
                <c:pt idx="44">
                  <c:v>1993</c:v>
                </c:pt>
                <c:pt idx="45">
                  <c:v>1994</c:v>
                </c:pt>
                <c:pt idx="46">
                  <c:v>1995</c:v>
                </c:pt>
                <c:pt idx="47">
                  <c:v>1996</c:v>
                </c:pt>
                <c:pt idx="48">
                  <c:v>1997</c:v>
                </c:pt>
                <c:pt idx="49">
                  <c:v>1998</c:v>
                </c:pt>
                <c:pt idx="50">
                  <c:v>1999</c:v>
                </c:pt>
                <c:pt idx="51">
                  <c:v>2000</c:v>
                </c:pt>
                <c:pt idx="52">
                  <c:v>2001</c:v>
                </c:pt>
                <c:pt idx="53">
                  <c:v>2002</c:v>
                </c:pt>
                <c:pt idx="54">
                  <c:v>2003</c:v>
                </c:pt>
                <c:pt idx="55">
                  <c:v>2004</c:v>
                </c:pt>
                <c:pt idx="56">
                  <c:v>2005</c:v>
                </c:pt>
                <c:pt idx="57">
                  <c:v>2006</c:v>
                </c:pt>
                <c:pt idx="58">
                  <c:v>2007</c:v>
                </c:pt>
                <c:pt idx="59">
                  <c:v>2008</c:v>
                </c:pt>
                <c:pt idx="60">
                  <c:v>2009</c:v>
                </c:pt>
                <c:pt idx="61">
                  <c:v>2010</c:v>
                </c:pt>
                <c:pt idx="62">
                  <c:v>2011</c:v>
                </c:pt>
                <c:pt idx="63">
                  <c:v>2012</c:v>
                </c:pt>
                <c:pt idx="64">
                  <c:v>2013</c:v>
                </c:pt>
                <c:pt idx="65">
                  <c:v>2014</c:v>
                </c:pt>
                <c:pt idx="66">
                  <c:v>2015</c:v>
                </c:pt>
              </c:numCache>
            </c:numRef>
          </c:cat>
          <c:val>
            <c:numRef>
              <c:f>LiveTable241!$D$8:$D$75</c:f>
              <c:numCache>
                <c:formatCode>[$-10409]#,##0;\(#,##0\)</c:formatCode>
                <c:ptCount val="68"/>
                <c:pt idx="0">
                  <c:v>28460</c:v>
                </c:pt>
                <c:pt idx="1">
                  <c:v>30240</c:v>
                </c:pt>
                <c:pt idx="2">
                  <c:v>25490</c:v>
                </c:pt>
                <c:pt idx="3">
                  <c:v>36670</c:v>
                </c:pt>
                <c:pt idx="4">
                  <c:v>64870</c:v>
                </c:pt>
                <c:pt idx="5">
                  <c:v>92420</c:v>
                </c:pt>
                <c:pt idx="6">
                  <c:v>116090</c:v>
                </c:pt>
                <c:pt idx="7">
                  <c:v>126430</c:v>
                </c:pt>
                <c:pt idx="8">
                  <c:v>128780</c:v>
                </c:pt>
                <c:pt idx="9">
                  <c:v>130220</c:v>
                </c:pt>
                <c:pt idx="10">
                  <c:v>153170</c:v>
                </c:pt>
                <c:pt idx="11">
                  <c:v>171410</c:v>
                </c:pt>
                <c:pt idx="12">
                  <c:v>180730</c:v>
                </c:pt>
                <c:pt idx="13">
                  <c:v>178210</c:v>
                </c:pt>
                <c:pt idx="14">
                  <c:v>177790</c:v>
                </c:pt>
                <c:pt idx="15">
                  <c:v>221260</c:v>
                </c:pt>
                <c:pt idx="16">
                  <c:v>217160</c:v>
                </c:pt>
                <c:pt idx="17">
                  <c:v>208650</c:v>
                </c:pt>
                <c:pt idx="18">
                  <c:v>204210</c:v>
                </c:pt>
                <c:pt idx="19">
                  <c:v>226070</c:v>
                </c:pt>
                <c:pt idx="20">
                  <c:v>185920</c:v>
                </c:pt>
                <c:pt idx="21">
                  <c:v>174340</c:v>
                </c:pt>
                <c:pt idx="22">
                  <c:v>196310</c:v>
                </c:pt>
                <c:pt idx="23">
                  <c:v>200760</c:v>
                </c:pt>
                <c:pt idx="24">
                  <c:v>191080</c:v>
                </c:pt>
                <c:pt idx="25">
                  <c:v>145230</c:v>
                </c:pt>
                <c:pt idx="26">
                  <c:v>154600</c:v>
                </c:pt>
                <c:pt idx="27">
                  <c:v>155300</c:v>
                </c:pt>
                <c:pt idx="28">
                  <c:v>143970</c:v>
                </c:pt>
                <c:pt idx="29">
                  <c:v>152230</c:v>
                </c:pt>
                <c:pt idx="30">
                  <c:v>144120</c:v>
                </c:pt>
                <c:pt idx="31">
                  <c:v>131990</c:v>
                </c:pt>
                <c:pt idx="32">
                  <c:v>118590</c:v>
                </c:pt>
                <c:pt idx="33">
                  <c:v>129020</c:v>
                </c:pt>
                <c:pt idx="34">
                  <c:v>153040</c:v>
                </c:pt>
                <c:pt idx="35">
                  <c:v>165560</c:v>
                </c:pt>
                <c:pt idx="36">
                  <c:v>163400</c:v>
                </c:pt>
                <c:pt idx="37">
                  <c:v>178010</c:v>
                </c:pt>
                <c:pt idx="38">
                  <c:v>191250</c:v>
                </c:pt>
                <c:pt idx="39">
                  <c:v>207420</c:v>
                </c:pt>
                <c:pt idx="40">
                  <c:v>187540</c:v>
                </c:pt>
                <c:pt idx="41">
                  <c:v>166860</c:v>
                </c:pt>
                <c:pt idx="42">
                  <c:v>159140</c:v>
                </c:pt>
                <c:pt idx="43">
                  <c:v>146940</c:v>
                </c:pt>
                <c:pt idx="44">
                  <c:v>146380</c:v>
                </c:pt>
                <c:pt idx="45">
                  <c:v>153270</c:v>
                </c:pt>
                <c:pt idx="46">
                  <c:v>156930</c:v>
                </c:pt>
                <c:pt idx="47">
                  <c:v>154340</c:v>
                </c:pt>
                <c:pt idx="48">
                  <c:v>161230</c:v>
                </c:pt>
                <c:pt idx="49">
                  <c:v>155830</c:v>
                </c:pt>
                <c:pt idx="50">
                  <c:v>157930</c:v>
                </c:pt>
                <c:pt idx="51">
                  <c:v>154580</c:v>
                </c:pt>
                <c:pt idx="52">
                  <c:v>152650</c:v>
                </c:pt>
                <c:pt idx="53">
                  <c:v>162770</c:v>
                </c:pt>
                <c:pt idx="54">
                  <c:v>172620</c:v>
                </c:pt>
                <c:pt idx="55">
                  <c:v>182700</c:v>
                </c:pt>
                <c:pt idx="56">
                  <c:v>182190</c:v>
                </c:pt>
                <c:pt idx="57">
                  <c:v>182710</c:v>
                </c:pt>
                <c:pt idx="58">
                  <c:v>195870</c:v>
                </c:pt>
                <c:pt idx="59">
                  <c:v>155100</c:v>
                </c:pt>
                <c:pt idx="60">
                  <c:v>121500</c:v>
                </c:pt>
                <c:pt idx="61">
                  <c:v>105230</c:v>
                </c:pt>
                <c:pt idx="62">
                  <c:v>105410</c:v>
                </c:pt>
                <c:pt idx="63">
                  <c:v>107640</c:v>
                </c:pt>
                <c:pt idx="64">
                  <c:v>106600</c:v>
                </c:pt>
                <c:pt idx="65">
                  <c:v>115020</c:v>
                </c:pt>
                <c:pt idx="66">
                  <c:v>134240</c:v>
                </c:pt>
                <c:pt idx="67">
                  <c:v>138650</c:v>
                </c:pt>
              </c:numCache>
            </c:numRef>
          </c:val>
        </c:ser>
        <c:dLbls>
          <c:showLegendKey val="0"/>
          <c:showVal val="0"/>
          <c:showCatName val="0"/>
          <c:showSerName val="0"/>
          <c:showPercent val="0"/>
          <c:showBubbleSize val="0"/>
        </c:dLbls>
        <c:gapWidth val="150"/>
        <c:overlap val="100"/>
        <c:axId val="422405064"/>
        <c:axId val="422406240"/>
        <c:extLst>
          <c:ext xmlns:c15="http://schemas.microsoft.com/office/drawing/2012/chart" uri="{02D57815-91ED-43cb-92C2-25804820EDAC}">
            <c15:filteredBarSeries>
              <c15:ser>
                <c:idx val="0"/>
                <c:order val="0"/>
                <c:spPr>
                  <a:solidFill>
                    <a:schemeClr val="accent1"/>
                  </a:solidFill>
                  <a:ln>
                    <a:noFill/>
                  </a:ln>
                  <a:effectLst/>
                </c:spPr>
                <c:invertIfNegative val="0"/>
                <c:cat>
                  <c:numRef>
                    <c:extLst>
                      <c:ext uri="{02D57815-91ED-43cb-92C2-25804820EDAC}">
                        <c15:formulaRef>
                          <c15:sqref>LiveTable241!$A$8:$A$74</c15:sqref>
                        </c15:formulaRef>
                      </c:ext>
                    </c:extLst>
                    <c:numCache>
                      <c:formatCode>General</c:formatCode>
                      <c:ptCount val="67"/>
                      <c:pt idx="0">
                        <c:v>1949</c:v>
                      </c:pt>
                      <c:pt idx="1">
                        <c:v>1950</c:v>
                      </c:pt>
                      <c:pt idx="2">
                        <c:v>1951</c:v>
                      </c:pt>
                      <c:pt idx="3">
                        <c:v>1952</c:v>
                      </c:pt>
                      <c:pt idx="4">
                        <c:v>1953</c:v>
                      </c:pt>
                      <c:pt idx="5">
                        <c:v>1954</c:v>
                      </c:pt>
                      <c:pt idx="6">
                        <c:v>1955</c:v>
                      </c:pt>
                      <c:pt idx="7">
                        <c:v>1956</c:v>
                      </c:pt>
                      <c:pt idx="8">
                        <c:v>1957</c:v>
                      </c:pt>
                      <c:pt idx="9">
                        <c:v>1958</c:v>
                      </c:pt>
                      <c:pt idx="10">
                        <c:v>1959</c:v>
                      </c:pt>
                      <c:pt idx="11">
                        <c:v>1960</c:v>
                      </c:pt>
                      <c:pt idx="12">
                        <c:v>1961</c:v>
                      </c:pt>
                      <c:pt idx="13">
                        <c:v>1962</c:v>
                      </c:pt>
                      <c:pt idx="14">
                        <c:v>1963</c:v>
                      </c:pt>
                      <c:pt idx="15">
                        <c:v>1964</c:v>
                      </c:pt>
                      <c:pt idx="16">
                        <c:v>1965</c:v>
                      </c:pt>
                      <c:pt idx="17">
                        <c:v>1966</c:v>
                      </c:pt>
                      <c:pt idx="18">
                        <c:v>1967</c:v>
                      </c:pt>
                      <c:pt idx="19">
                        <c:v>1968</c:v>
                      </c:pt>
                      <c:pt idx="20">
                        <c:v>1969</c:v>
                      </c:pt>
                      <c:pt idx="21">
                        <c:v>1970</c:v>
                      </c:pt>
                      <c:pt idx="22">
                        <c:v>1971</c:v>
                      </c:pt>
                      <c:pt idx="23">
                        <c:v>1972</c:v>
                      </c:pt>
                      <c:pt idx="24">
                        <c:v>1973</c:v>
                      </c:pt>
                      <c:pt idx="25">
                        <c:v>1974</c:v>
                      </c:pt>
                      <c:pt idx="26">
                        <c:v>1975</c:v>
                      </c:pt>
                      <c:pt idx="27">
                        <c:v>1976</c:v>
                      </c:pt>
                      <c:pt idx="28">
                        <c:v>1977</c:v>
                      </c:pt>
                      <c:pt idx="29">
                        <c:v>1978</c:v>
                      </c:pt>
                      <c:pt idx="30">
                        <c:v>1979</c:v>
                      </c:pt>
                      <c:pt idx="31">
                        <c:v>1980</c:v>
                      </c:pt>
                      <c:pt idx="32">
                        <c:v>1981</c:v>
                      </c:pt>
                      <c:pt idx="33">
                        <c:v>1982</c:v>
                      </c:pt>
                      <c:pt idx="34">
                        <c:v>1983</c:v>
                      </c:pt>
                      <c:pt idx="35">
                        <c:v>1984</c:v>
                      </c:pt>
                      <c:pt idx="36">
                        <c:v>1985</c:v>
                      </c:pt>
                      <c:pt idx="37">
                        <c:v>1986</c:v>
                      </c:pt>
                      <c:pt idx="38">
                        <c:v>1987</c:v>
                      </c:pt>
                      <c:pt idx="39">
                        <c:v>1988</c:v>
                      </c:pt>
                      <c:pt idx="40">
                        <c:v>1989</c:v>
                      </c:pt>
                      <c:pt idx="41">
                        <c:v>1990</c:v>
                      </c:pt>
                      <c:pt idx="42">
                        <c:v>1991</c:v>
                      </c:pt>
                      <c:pt idx="43">
                        <c:v>1992</c:v>
                      </c:pt>
                      <c:pt idx="44">
                        <c:v>1993</c:v>
                      </c:pt>
                      <c:pt idx="45">
                        <c:v>1994</c:v>
                      </c:pt>
                      <c:pt idx="46">
                        <c:v>1995</c:v>
                      </c:pt>
                      <c:pt idx="47">
                        <c:v>1996</c:v>
                      </c:pt>
                      <c:pt idx="48">
                        <c:v>1997</c:v>
                      </c:pt>
                      <c:pt idx="49">
                        <c:v>1998</c:v>
                      </c:pt>
                      <c:pt idx="50">
                        <c:v>1999</c:v>
                      </c:pt>
                      <c:pt idx="51">
                        <c:v>2000</c:v>
                      </c:pt>
                      <c:pt idx="52">
                        <c:v>2001</c:v>
                      </c:pt>
                      <c:pt idx="53">
                        <c:v>2002</c:v>
                      </c:pt>
                      <c:pt idx="54">
                        <c:v>2003</c:v>
                      </c:pt>
                      <c:pt idx="55">
                        <c:v>2004</c:v>
                      </c:pt>
                      <c:pt idx="56">
                        <c:v>2005</c:v>
                      </c:pt>
                      <c:pt idx="57">
                        <c:v>2006</c:v>
                      </c:pt>
                      <c:pt idx="58">
                        <c:v>2007</c:v>
                      </c:pt>
                      <c:pt idx="59">
                        <c:v>2008</c:v>
                      </c:pt>
                      <c:pt idx="60">
                        <c:v>2009</c:v>
                      </c:pt>
                      <c:pt idx="61">
                        <c:v>2010</c:v>
                      </c:pt>
                      <c:pt idx="62">
                        <c:v>2011</c:v>
                      </c:pt>
                      <c:pt idx="63">
                        <c:v>2012</c:v>
                      </c:pt>
                      <c:pt idx="64">
                        <c:v>2013</c:v>
                      </c:pt>
                      <c:pt idx="65">
                        <c:v>2014</c:v>
                      </c:pt>
                      <c:pt idx="66">
                        <c:v>2015</c:v>
                      </c:pt>
                    </c:numCache>
                  </c:numRef>
                </c:cat>
                <c:val>
                  <c:numRef>
                    <c:extLst>
                      <c:ext uri="{02D57815-91ED-43cb-92C2-25804820EDAC}">
                        <c15:formulaRef>
                          <c15:sqref>LiveTable241!$B$8:$B$75</c15:sqref>
                        </c15:formulaRef>
                      </c:ext>
                    </c:extLst>
                    <c:numCache>
                      <c:formatCode>General</c:formatCode>
                      <c:ptCount val="68"/>
                    </c:numCache>
                  </c:numRef>
                </c:val>
              </c15:ser>
            </c15:filteredBarSeries>
            <c15:filteredBarSeries>
              <c15:ser>
                <c:idx val="1"/>
                <c:order val="1"/>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LiveTable241!$A$8:$A$74</c15:sqref>
                        </c15:formulaRef>
                      </c:ext>
                    </c:extLst>
                    <c:numCache>
                      <c:formatCode>General</c:formatCode>
                      <c:ptCount val="67"/>
                      <c:pt idx="0">
                        <c:v>1949</c:v>
                      </c:pt>
                      <c:pt idx="1">
                        <c:v>1950</c:v>
                      </c:pt>
                      <c:pt idx="2">
                        <c:v>1951</c:v>
                      </c:pt>
                      <c:pt idx="3">
                        <c:v>1952</c:v>
                      </c:pt>
                      <c:pt idx="4">
                        <c:v>1953</c:v>
                      </c:pt>
                      <c:pt idx="5">
                        <c:v>1954</c:v>
                      </c:pt>
                      <c:pt idx="6">
                        <c:v>1955</c:v>
                      </c:pt>
                      <c:pt idx="7">
                        <c:v>1956</c:v>
                      </c:pt>
                      <c:pt idx="8">
                        <c:v>1957</c:v>
                      </c:pt>
                      <c:pt idx="9">
                        <c:v>1958</c:v>
                      </c:pt>
                      <c:pt idx="10">
                        <c:v>1959</c:v>
                      </c:pt>
                      <c:pt idx="11">
                        <c:v>1960</c:v>
                      </c:pt>
                      <c:pt idx="12">
                        <c:v>1961</c:v>
                      </c:pt>
                      <c:pt idx="13">
                        <c:v>1962</c:v>
                      </c:pt>
                      <c:pt idx="14">
                        <c:v>1963</c:v>
                      </c:pt>
                      <c:pt idx="15">
                        <c:v>1964</c:v>
                      </c:pt>
                      <c:pt idx="16">
                        <c:v>1965</c:v>
                      </c:pt>
                      <c:pt idx="17">
                        <c:v>1966</c:v>
                      </c:pt>
                      <c:pt idx="18">
                        <c:v>1967</c:v>
                      </c:pt>
                      <c:pt idx="19">
                        <c:v>1968</c:v>
                      </c:pt>
                      <c:pt idx="20">
                        <c:v>1969</c:v>
                      </c:pt>
                      <c:pt idx="21">
                        <c:v>1970</c:v>
                      </c:pt>
                      <c:pt idx="22">
                        <c:v>1971</c:v>
                      </c:pt>
                      <c:pt idx="23">
                        <c:v>1972</c:v>
                      </c:pt>
                      <c:pt idx="24">
                        <c:v>1973</c:v>
                      </c:pt>
                      <c:pt idx="25">
                        <c:v>1974</c:v>
                      </c:pt>
                      <c:pt idx="26">
                        <c:v>1975</c:v>
                      </c:pt>
                      <c:pt idx="27">
                        <c:v>1976</c:v>
                      </c:pt>
                      <c:pt idx="28">
                        <c:v>1977</c:v>
                      </c:pt>
                      <c:pt idx="29">
                        <c:v>1978</c:v>
                      </c:pt>
                      <c:pt idx="30">
                        <c:v>1979</c:v>
                      </c:pt>
                      <c:pt idx="31">
                        <c:v>1980</c:v>
                      </c:pt>
                      <c:pt idx="32">
                        <c:v>1981</c:v>
                      </c:pt>
                      <c:pt idx="33">
                        <c:v>1982</c:v>
                      </c:pt>
                      <c:pt idx="34">
                        <c:v>1983</c:v>
                      </c:pt>
                      <c:pt idx="35">
                        <c:v>1984</c:v>
                      </c:pt>
                      <c:pt idx="36">
                        <c:v>1985</c:v>
                      </c:pt>
                      <c:pt idx="37">
                        <c:v>1986</c:v>
                      </c:pt>
                      <c:pt idx="38">
                        <c:v>1987</c:v>
                      </c:pt>
                      <c:pt idx="39">
                        <c:v>1988</c:v>
                      </c:pt>
                      <c:pt idx="40">
                        <c:v>1989</c:v>
                      </c:pt>
                      <c:pt idx="41">
                        <c:v>1990</c:v>
                      </c:pt>
                      <c:pt idx="42">
                        <c:v>1991</c:v>
                      </c:pt>
                      <c:pt idx="43">
                        <c:v>1992</c:v>
                      </c:pt>
                      <c:pt idx="44">
                        <c:v>1993</c:v>
                      </c:pt>
                      <c:pt idx="45">
                        <c:v>1994</c:v>
                      </c:pt>
                      <c:pt idx="46">
                        <c:v>1995</c:v>
                      </c:pt>
                      <c:pt idx="47">
                        <c:v>1996</c:v>
                      </c:pt>
                      <c:pt idx="48">
                        <c:v>1997</c:v>
                      </c:pt>
                      <c:pt idx="49">
                        <c:v>1998</c:v>
                      </c:pt>
                      <c:pt idx="50">
                        <c:v>1999</c:v>
                      </c:pt>
                      <c:pt idx="51">
                        <c:v>2000</c:v>
                      </c:pt>
                      <c:pt idx="52">
                        <c:v>2001</c:v>
                      </c:pt>
                      <c:pt idx="53">
                        <c:v>2002</c:v>
                      </c:pt>
                      <c:pt idx="54">
                        <c:v>2003</c:v>
                      </c:pt>
                      <c:pt idx="55">
                        <c:v>2004</c:v>
                      </c:pt>
                      <c:pt idx="56">
                        <c:v>2005</c:v>
                      </c:pt>
                      <c:pt idx="57">
                        <c:v>2006</c:v>
                      </c:pt>
                      <c:pt idx="58">
                        <c:v>2007</c:v>
                      </c:pt>
                      <c:pt idx="59">
                        <c:v>2008</c:v>
                      </c:pt>
                      <c:pt idx="60">
                        <c:v>2009</c:v>
                      </c:pt>
                      <c:pt idx="61">
                        <c:v>2010</c:v>
                      </c:pt>
                      <c:pt idx="62">
                        <c:v>2011</c:v>
                      </c:pt>
                      <c:pt idx="63">
                        <c:v>2012</c:v>
                      </c:pt>
                      <c:pt idx="64">
                        <c:v>2013</c:v>
                      </c:pt>
                      <c:pt idx="65">
                        <c:v>2014</c:v>
                      </c:pt>
                      <c:pt idx="66">
                        <c:v>2015</c:v>
                      </c:pt>
                    </c:numCache>
                  </c:numRef>
                </c:cat>
                <c:val>
                  <c:numRef>
                    <c:extLst xmlns:c15="http://schemas.microsoft.com/office/drawing/2012/chart">
                      <c:ext xmlns:c15="http://schemas.microsoft.com/office/drawing/2012/chart" uri="{02D57815-91ED-43cb-92C2-25804820EDAC}">
                        <c15:formulaRef>
                          <c15:sqref>LiveTable241!$C$8:$C$75</c15:sqref>
                        </c15:formulaRef>
                      </c:ext>
                    </c:extLst>
                    <c:numCache>
                      <c:formatCode>General</c:formatCode>
                      <c:ptCount val="68"/>
                      <c:pt idx="56">
                        <c:v>0</c:v>
                      </c:pt>
                      <c:pt idx="57">
                        <c:v>0</c:v>
                      </c:pt>
                      <c:pt idx="58">
                        <c:v>0</c:v>
                      </c:pt>
                      <c:pt idx="60">
                        <c:v>0</c:v>
                      </c:pt>
                      <c:pt idx="61">
                        <c:v>0</c:v>
                      </c:pt>
                      <c:pt idx="62">
                        <c:v>0</c:v>
                      </c:pt>
                      <c:pt idx="63">
                        <c:v>0</c:v>
                      </c:pt>
                      <c:pt idx="64">
                        <c:v>0</c:v>
                      </c:pt>
                      <c:pt idx="65">
                        <c:v>0</c:v>
                      </c:pt>
                      <c:pt idx="66">
                        <c:v>0</c:v>
                      </c:pt>
                      <c:pt idx="67">
                        <c:v>0</c:v>
                      </c:pt>
                    </c:numCache>
                  </c:numRef>
                </c:val>
              </c15:ser>
            </c15:filteredBarSeries>
          </c:ext>
        </c:extLst>
      </c:barChart>
      <c:catAx>
        <c:axId val="422405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406240"/>
        <c:crosses val="autoZero"/>
        <c:auto val="1"/>
        <c:lblAlgn val="ctr"/>
        <c:lblOffset val="100"/>
        <c:noMultiLvlLbl val="0"/>
      </c:catAx>
      <c:valAx>
        <c:axId val="422406240"/>
        <c:scaling>
          <c:orientation val="minMax"/>
        </c:scaling>
        <c:delete val="0"/>
        <c:axPos val="l"/>
        <c:majorGridlines>
          <c:spPr>
            <a:ln w="9525" cap="flat" cmpd="sng" algn="ctr">
              <a:solidFill>
                <a:schemeClr val="tx1">
                  <a:lumMod val="15000"/>
                  <a:lumOff val="85000"/>
                </a:schemeClr>
              </a:solidFill>
              <a:round/>
            </a:ln>
            <a:effectLst/>
          </c:spPr>
        </c:majorGridlines>
        <c:numFmt formatCode="[$-10409]#,##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405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Members of the public</a:t>
            </a:r>
          </a:p>
        </c:rich>
      </c:tx>
      <c:overlay val="0"/>
      <c:spPr>
        <a:noFill/>
        <a:ln w="25400">
          <a:noFill/>
        </a:ln>
      </c:spPr>
    </c:title>
    <c:autoTitleDeleted val="0"/>
    <c:plotArea>
      <c:layout/>
      <c:pieChart>
        <c:varyColors val="1"/>
        <c:ser>
          <c:idx val="0"/>
          <c:order val="0"/>
          <c:dPt>
            <c:idx val="0"/>
            <c:bubble3D val="0"/>
            <c:spPr>
              <a:solidFill>
                <a:srgbClr val="FF0000"/>
              </a:solidFill>
              <a:ln w="19050">
                <a:solidFill>
                  <a:schemeClr val="lt1"/>
                </a:solidFill>
              </a:ln>
              <a:effectLst/>
            </c:spPr>
          </c:dPt>
          <c:dPt>
            <c:idx val="1"/>
            <c:bubble3D val="0"/>
            <c:spPr>
              <a:solidFill>
                <a:srgbClr val="00B050"/>
              </a:solidFill>
              <a:ln w="19050">
                <a:solidFill>
                  <a:schemeClr val="lt1"/>
                </a:solidFill>
              </a:ln>
              <a:effectLst/>
            </c:spPr>
          </c:dPt>
          <c:dPt>
            <c:idx val="2"/>
            <c:bubble3D val="0"/>
            <c:spPr>
              <a:solidFill>
                <a:srgbClr val="FFC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PO'!$E$4:$E$5</c:f>
              <c:strCache>
                <c:ptCount val="2"/>
                <c:pt idx="0">
                  <c:v>Agree</c:v>
                </c:pt>
                <c:pt idx="1">
                  <c:v>Disagree</c:v>
                </c:pt>
              </c:strCache>
            </c:strRef>
          </c:cat>
          <c:val>
            <c:numRef>
              <c:f>'Summary PO'!$F$4:$F$5</c:f>
              <c:numCache>
                <c:formatCode>General</c:formatCode>
                <c:ptCount val="2"/>
                <c:pt idx="0">
                  <c:v>28</c:v>
                </c:pt>
                <c:pt idx="1">
                  <c:v>175</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Town and Parish Councils</a:t>
            </a:r>
          </a:p>
        </c:rich>
      </c:tx>
      <c:overlay val="0"/>
      <c:spPr>
        <a:noFill/>
        <a:ln w="25400">
          <a:noFill/>
        </a:ln>
      </c:spPr>
    </c:title>
    <c:autoTitleDeleted val="0"/>
    <c:plotArea>
      <c:layout/>
      <c:pieChart>
        <c:varyColors val="1"/>
        <c:ser>
          <c:idx val="0"/>
          <c:order val="0"/>
          <c:dPt>
            <c:idx val="0"/>
            <c:bubble3D val="0"/>
            <c:spPr>
              <a:solidFill>
                <a:srgbClr val="FF0000"/>
              </a:solidFill>
              <a:ln w="19050">
                <a:solidFill>
                  <a:schemeClr val="lt1"/>
                </a:solidFill>
              </a:ln>
              <a:effectLst/>
            </c:spPr>
          </c:dPt>
          <c:dPt>
            <c:idx val="1"/>
            <c:bubble3D val="0"/>
            <c:spPr>
              <a:solidFill>
                <a:srgbClr val="00B050"/>
              </a:solidFill>
              <a:ln w="19050">
                <a:solidFill>
                  <a:schemeClr val="lt1"/>
                </a:solidFill>
              </a:ln>
              <a:effectLst/>
            </c:spPr>
          </c:dPt>
          <c:dPt>
            <c:idx val="2"/>
            <c:bubble3D val="0"/>
            <c:spPr>
              <a:solidFill>
                <a:srgbClr val="FFC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PO'!$I$4:$I$5</c:f>
              <c:strCache>
                <c:ptCount val="2"/>
                <c:pt idx="0">
                  <c:v>Agree</c:v>
                </c:pt>
                <c:pt idx="1">
                  <c:v>Disagree</c:v>
                </c:pt>
              </c:strCache>
            </c:strRef>
          </c:cat>
          <c:val>
            <c:numRef>
              <c:f>'Summary PO'!$J$4:$J$5</c:f>
              <c:numCache>
                <c:formatCode>General</c:formatCode>
                <c:ptCount val="2"/>
                <c:pt idx="0">
                  <c:v>10</c:v>
                </c:pt>
                <c:pt idx="1">
                  <c:v>22</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Local and national interest</a:t>
            </a:r>
          </a:p>
        </c:rich>
      </c:tx>
      <c:overlay val="0"/>
      <c:spPr>
        <a:noFill/>
        <a:ln w="25400">
          <a:noFill/>
        </a:ln>
      </c:spPr>
    </c:title>
    <c:autoTitleDeleted val="0"/>
    <c:plotArea>
      <c:layout/>
      <c:pieChart>
        <c:varyColors val="1"/>
        <c:ser>
          <c:idx val="0"/>
          <c:order val="0"/>
          <c:dPt>
            <c:idx val="0"/>
            <c:bubble3D val="0"/>
            <c:spPr>
              <a:solidFill>
                <a:srgbClr val="FF0000"/>
              </a:solidFill>
              <a:ln w="19050">
                <a:solidFill>
                  <a:schemeClr val="lt1"/>
                </a:solidFill>
              </a:ln>
              <a:effectLst/>
            </c:spPr>
          </c:dPt>
          <c:dPt>
            <c:idx val="1"/>
            <c:bubble3D val="0"/>
            <c:spPr>
              <a:solidFill>
                <a:srgbClr val="00B050"/>
              </a:solidFill>
              <a:ln w="19050">
                <a:solidFill>
                  <a:schemeClr val="lt1"/>
                </a:solidFill>
              </a:ln>
              <a:effectLst/>
            </c:spPr>
          </c:dPt>
          <c:dPt>
            <c:idx val="2"/>
            <c:bubble3D val="0"/>
            <c:spPr>
              <a:solidFill>
                <a:srgbClr val="FFC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PO'!$C$4:$C$5</c:f>
              <c:strCache>
                <c:ptCount val="2"/>
                <c:pt idx="0">
                  <c:v>Agree</c:v>
                </c:pt>
                <c:pt idx="1">
                  <c:v>Disagree</c:v>
                </c:pt>
              </c:strCache>
            </c:strRef>
          </c:cat>
          <c:val>
            <c:numRef>
              <c:f>'Summary PO'!$D$4:$D$5</c:f>
              <c:numCache>
                <c:formatCode>General</c:formatCode>
                <c:ptCount val="2"/>
                <c:pt idx="0">
                  <c:v>8</c:v>
                </c:pt>
                <c:pt idx="1">
                  <c:v>14</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Landowners, developers and agents, including identical responses</a:t>
            </a:r>
          </a:p>
        </c:rich>
      </c:tx>
      <c:overlay val="0"/>
      <c:spPr>
        <a:noFill/>
        <a:ln w="25400">
          <a:noFill/>
        </a:ln>
      </c:spPr>
    </c:title>
    <c:autoTitleDeleted val="0"/>
    <c:plotArea>
      <c:layout/>
      <c:pieChart>
        <c:varyColors val="1"/>
        <c:ser>
          <c:idx val="0"/>
          <c:order val="0"/>
          <c:dPt>
            <c:idx val="0"/>
            <c:bubble3D val="0"/>
            <c:spPr>
              <a:solidFill>
                <a:srgbClr val="FF0000"/>
              </a:solidFill>
              <a:ln w="19050">
                <a:solidFill>
                  <a:schemeClr val="lt1"/>
                </a:solidFill>
              </a:ln>
              <a:effectLst/>
            </c:spPr>
          </c:dPt>
          <c:dPt>
            <c:idx val="1"/>
            <c:bubble3D val="0"/>
            <c:spPr>
              <a:solidFill>
                <a:srgbClr val="00B050"/>
              </a:solidFill>
              <a:ln w="19050">
                <a:solidFill>
                  <a:schemeClr val="lt1"/>
                </a:solidFill>
              </a:ln>
              <a:effectLst/>
            </c:spPr>
          </c:dPt>
          <c:dPt>
            <c:idx val="2"/>
            <c:bubble3D val="0"/>
            <c:spPr>
              <a:solidFill>
                <a:srgbClr val="FFC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PO'!$G$4:$G$5</c:f>
              <c:strCache>
                <c:ptCount val="2"/>
                <c:pt idx="0">
                  <c:v>Agree</c:v>
                </c:pt>
                <c:pt idx="1">
                  <c:v>Disagree</c:v>
                </c:pt>
              </c:strCache>
            </c:strRef>
          </c:cat>
          <c:val>
            <c:numRef>
              <c:f>'Summary PO'!$H$4:$H$5</c:f>
              <c:numCache>
                <c:formatCode>General</c:formatCode>
                <c:ptCount val="2"/>
                <c:pt idx="0">
                  <c:v>169</c:v>
                </c:pt>
                <c:pt idx="1">
                  <c:v>1</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i="0" baseline="0">
                <a:effectLst/>
              </a:rPr>
              <a:t>CPRE total (388</a:t>
            </a:r>
            <a:endParaRPr lang="en-GB" sz="1100">
              <a:effectLst/>
            </a:endParaRPr>
          </a:p>
          <a:p>
            <a:pPr>
              <a:defRPr sz="1400" b="0" i="0" u="none" strike="noStrike" kern="1200" spc="0" baseline="0">
                <a:solidFill>
                  <a:schemeClr val="tx1">
                    <a:lumMod val="65000"/>
                    <a:lumOff val="35000"/>
                  </a:schemeClr>
                </a:solidFill>
                <a:latin typeface="+mn-lt"/>
                <a:ea typeface="+mn-ea"/>
                <a:cs typeface="+mn-cs"/>
              </a:defRPr>
            </a:pPr>
            <a:r>
              <a:rPr lang="en-US" sz="1100" b="0" i="0" baseline="0">
                <a:effectLst/>
              </a:rPr>
              <a:t> valid responses)</a:t>
            </a:r>
            <a:endParaRPr lang="en-GB" sz="1100">
              <a:effectLst/>
            </a:endParaRPr>
          </a:p>
          <a:p>
            <a:pPr>
              <a:defRPr sz="1400" b="0" i="0" u="none" strike="noStrike" kern="1200" spc="0" baseline="0">
                <a:solidFill>
                  <a:schemeClr val="tx1">
                    <a:lumMod val="65000"/>
                    <a:lumOff val="35000"/>
                  </a:schemeClr>
                </a:solidFill>
                <a:latin typeface="+mn-lt"/>
                <a:ea typeface="+mn-ea"/>
                <a:cs typeface="+mn-cs"/>
              </a:defRPr>
            </a:pPr>
            <a:r>
              <a:rPr lang="en-US" sz="1100" b="0" i="0" baseline="0">
                <a:effectLst/>
              </a:rPr>
              <a:t>excluding identical responses from agents</a:t>
            </a:r>
            <a:endParaRPr lang="en-GB" sz="1100">
              <a:effectLst/>
            </a:endParaRPr>
          </a:p>
        </c:rich>
      </c:tx>
      <c:overlay val="0"/>
      <c:spPr>
        <a:noFill/>
        <a:ln w="25400">
          <a:noFill/>
        </a:ln>
      </c:spPr>
    </c:title>
    <c:autoTitleDeleted val="0"/>
    <c:plotArea>
      <c:layout/>
      <c:pieChart>
        <c:varyColors val="1"/>
        <c:ser>
          <c:idx val="0"/>
          <c:order val="0"/>
          <c:dPt>
            <c:idx val="0"/>
            <c:bubble3D val="0"/>
            <c:spPr>
              <a:solidFill>
                <a:srgbClr val="FF0000"/>
              </a:solidFill>
              <a:ln w="19050">
                <a:solidFill>
                  <a:schemeClr val="lt1"/>
                </a:solidFill>
              </a:ln>
              <a:effectLst/>
            </c:spPr>
          </c:dPt>
          <c:dPt>
            <c:idx val="1"/>
            <c:bubble3D val="0"/>
            <c:spPr>
              <a:solidFill>
                <a:srgbClr val="00B050"/>
              </a:solidFill>
              <a:ln w="19050">
                <a:solidFill>
                  <a:schemeClr val="lt1"/>
                </a:solidFill>
              </a:ln>
              <a:effectLst/>
            </c:spPr>
          </c:dPt>
          <c:dPt>
            <c:idx val="2"/>
            <c:bubble3D val="0"/>
            <c:spPr>
              <a:solidFill>
                <a:srgbClr val="FFC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PO'!$Q$4:$Q$5</c:f>
              <c:strCache>
                <c:ptCount val="2"/>
                <c:pt idx="0">
                  <c:v>Agree</c:v>
                </c:pt>
                <c:pt idx="1">
                  <c:v>Disagree</c:v>
                </c:pt>
              </c:strCache>
            </c:strRef>
          </c:cat>
          <c:val>
            <c:numRef>
              <c:f>'Summary PO'!$R$4:$R$5</c:f>
              <c:numCache>
                <c:formatCode>General</c:formatCode>
                <c:ptCount val="2"/>
                <c:pt idx="0">
                  <c:v>176</c:v>
                </c:pt>
                <c:pt idx="1">
                  <c:v>212</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Shropshire</a:t>
            </a:r>
            <a:r>
              <a:rPr lang="en-US" sz="1100" baseline="0"/>
              <a:t> Council t</a:t>
            </a:r>
            <a:r>
              <a:rPr lang="en-US" sz="1100"/>
              <a:t>otal (418</a:t>
            </a:r>
            <a:r>
              <a:rPr lang="en-US" sz="1100" baseline="0"/>
              <a:t> unique responses)</a:t>
            </a:r>
            <a:endParaRPr lang="en-US" sz="1100"/>
          </a:p>
        </c:rich>
      </c:tx>
      <c:overlay val="0"/>
      <c:spPr>
        <a:noFill/>
        <a:ln w="25400">
          <a:noFill/>
        </a:ln>
      </c:spPr>
    </c:title>
    <c:autoTitleDeleted val="0"/>
    <c:plotArea>
      <c:layout/>
      <c:pieChart>
        <c:varyColors val="1"/>
        <c:ser>
          <c:idx val="0"/>
          <c:order val="0"/>
          <c:dPt>
            <c:idx val="0"/>
            <c:bubble3D val="0"/>
            <c:spPr>
              <a:solidFill>
                <a:srgbClr val="FF0000"/>
              </a:solidFill>
              <a:ln w="19050">
                <a:solidFill>
                  <a:schemeClr val="lt1"/>
                </a:solidFill>
              </a:ln>
              <a:effectLst/>
            </c:spPr>
          </c:dPt>
          <c:dPt>
            <c:idx val="1"/>
            <c:bubble3D val="0"/>
            <c:spPr>
              <a:solidFill>
                <a:srgbClr val="00B050"/>
              </a:solidFill>
              <a:ln w="19050">
                <a:solidFill>
                  <a:schemeClr val="lt1"/>
                </a:solidFill>
              </a:ln>
              <a:effectLst/>
            </c:spPr>
          </c:dPt>
          <c:dPt>
            <c:idx val="2"/>
            <c:bubble3D val="0"/>
            <c:spPr>
              <a:solidFill>
                <a:schemeClr val="bg1">
                  <a:lumMod val="75000"/>
                </a:schemeClr>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PO'!$O$4:$O$5</c:f>
              <c:strCache>
                <c:ptCount val="2"/>
                <c:pt idx="0">
                  <c:v>Agree</c:v>
                </c:pt>
                <c:pt idx="1">
                  <c:v>Disagree</c:v>
                </c:pt>
              </c:strCache>
            </c:strRef>
          </c:cat>
          <c:val>
            <c:numRef>
              <c:f>'Summary PO'!$P$4:$P$5</c:f>
              <c:numCache>
                <c:formatCode>General</c:formatCode>
                <c:ptCount val="2"/>
                <c:pt idx="0">
                  <c:v>202</c:v>
                </c:pt>
                <c:pt idx="1">
                  <c:v>216</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solidFill>
                  <a:sysClr val="windowText" lastClr="000000"/>
                </a:solidFill>
              </a:rPr>
              <a:t>Shropshire</a:t>
            </a:r>
            <a:r>
              <a:rPr lang="en-US" sz="1000" baseline="0">
                <a:solidFill>
                  <a:sysClr val="windowText" lastClr="000000"/>
                </a:solidFill>
              </a:rPr>
              <a:t> Council t</a:t>
            </a:r>
            <a:r>
              <a:rPr lang="en-US" sz="1000">
                <a:solidFill>
                  <a:sysClr val="windowText" lastClr="000000"/>
                </a:solidFill>
              </a:rPr>
              <a:t>otal (412 unique responses)</a:t>
            </a:r>
          </a:p>
        </c:rich>
      </c:tx>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C000"/>
              </a:solidFill>
              <a:ln w="19050">
                <a:solidFill>
                  <a:schemeClr val="lt1"/>
                </a:solidFill>
              </a:ln>
              <a:effectLst/>
            </c:spPr>
          </c:dPt>
          <c:dPt>
            <c:idx val="2"/>
            <c:bubble3D val="0"/>
            <c:spPr>
              <a:solidFill>
                <a:srgbClr val="FF0000"/>
              </a:solidFill>
              <a:ln w="19050">
                <a:solidFill>
                  <a:schemeClr val="lt1"/>
                </a:solidFill>
              </a:ln>
              <a:effectLst/>
            </c:spPr>
          </c:dPt>
          <c:dPt>
            <c:idx val="3"/>
            <c:bubble3D val="0"/>
            <c:spPr>
              <a:solidFill>
                <a:schemeClr val="bg1">
                  <a:lumMod val="75000"/>
                </a:schemeClr>
              </a:solidFill>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I&amp;O'!$S$4:$S$7</c:f>
              <c:strCache>
                <c:ptCount val="4"/>
                <c:pt idx="0">
                  <c:v>Moderate (26,250) and lower</c:v>
                </c:pt>
                <c:pt idx="1">
                  <c:v>Significant (27,500)</c:v>
                </c:pt>
                <c:pt idx="2">
                  <c:v>High (28,250)</c:v>
                </c:pt>
                <c:pt idx="3">
                  <c:v>No firm view</c:v>
                </c:pt>
              </c:strCache>
            </c:strRef>
          </c:cat>
          <c:val>
            <c:numRef>
              <c:f>'Summary I&amp;O'!$T$4:$T$7</c:f>
              <c:numCache>
                <c:formatCode>General</c:formatCode>
                <c:ptCount val="4"/>
                <c:pt idx="0">
                  <c:v>153</c:v>
                </c:pt>
                <c:pt idx="1">
                  <c:v>40</c:v>
                </c:pt>
                <c:pt idx="2">
                  <c:v>106</c:v>
                </c:pt>
                <c:pt idx="3">
                  <c:v>113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solidFill>
                  <a:sysClr val="windowText" lastClr="000000"/>
                </a:solidFill>
              </a:rPr>
              <a:t>Shropshire</a:t>
            </a:r>
            <a:r>
              <a:rPr lang="en-US" sz="1100" baseline="0">
                <a:solidFill>
                  <a:sysClr val="windowText" lastClr="000000"/>
                </a:solidFill>
              </a:rPr>
              <a:t> Council t</a:t>
            </a:r>
            <a:r>
              <a:rPr lang="en-US" sz="1100">
                <a:solidFill>
                  <a:sysClr val="windowText" lastClr="000000"/>
                </a:solidFill>
              </a:rPr>
              <a:t>otal (591</a:t>
            </a:r>
            <a:r>
              <a:rPr lang="en-US" sz="1100" baseline="0">
                <a:solidFill>
                  <a:sysClr val="windowText" lastClr="000000"/>
                </a:solidFill>
              </a:rPr>
              <a:t> unique responses)</a:t>
            </a:r>
            <a:endParaRPr lang="en-US" sz="1100">
              <a:solidFill>
                <a:sysClr val="windowText" lastClr="000000"/>
              </a:solidFill>
            </a:endParaRPr>
          </a:p>
        </c:rich>
      </c:tx>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0000"/>
              </a:solidFill>
              <a:ln w="19050">
                <a:solidFill>
                  <a:schemeClr val="lt1"/>
                </a:solidFill>
              </a:ln>
              <a:effectLst/>
            </c:spPr>
          </c:dPt>
          <c:dPt>
            <c:idx val="2"/>
            <c:bubble3D val="0"/>
            <c:spPr>
              <a:solidFill>
                <a:schemeClr val="bg1">
                  <a:lumMod val="75000"/>
                </a:schemeClr>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PO'!$S$4:$S$6</c:f>
              <c:strCache>
                <c:ptCount val="3"/>
                <c:pt idx="0">
                  <c:v>Agree</c:v>
                </c:pt>
                <c:pt idx="1">
                  <c:v>Disagree</c:v>
                </c:pt>
                <c:pt idx="2">
                  <c:v>No firm view</c:v>
                </c:pt>
              </c:strCache>
            </c:strRef>
          </c:cat>
          <c:val>
            <c:numRef>
              <c:f>'Summary PO'!$T$4:$T$6</c:f>
              <c:numCache>
                <c:formatCode>General</c:formatCode>
                <c:ptCount val="3"/>
                <c:pt idx="0">
                  <c:v>202</c:v>
                </c:pt>
                <c:pt idx="1">
                  <c:v>216</c:v>
                </c:pt>
                <c:pt idx="2">
                  <c:v>173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Members of the public</a:t>
            </a:r>
          </a:p>
        </c:rich>
      </c:tx>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C000"/>
              </a:solidFill>
              <a:ln w="19050">
                <a:solidFill>
                  <a:schemeClr val="lt1"/>
                </a:solidFill>
              </a:ln>
              <a:effectLst/>
            </c:spPr>
          </c:dPt>
          <c:dPt>
            <c:idx val="2"/>
            <c:bubble3D val="0"/>
            <c:spPr>
              <a:solidFill>
                <a:srgbClr val="FF0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I&amp;O'!$E$4:$E$6</c:f>
              <c:strCache>
                <c:ptCount val="3"/>
                <c:pt idx="0">
                  <c:v>Moderate (26,250) and lower</c:v>
                </c:pt>
                <c:pt idx="1">
                  <c:v>Significant (27,500)</c:v>
                </c:pt>
                <c:pt idx="2">
                  <c:v>High (28,250)</c:v>
                </c:pt>
              </c:strCache>
            </c:strRef>
          </c:cat>
          <c:val>
            <c:numRef>
              <c:f>'Summary I&amp;O'!$F$4:$F$6</c:f>
              <c:numCache>
                <c:formatCode>General</c:formatCode>
                <c:ptCount val="3"/>
                <c:pt idx="0">
                  <c:v>112</c:v>
                </c:pt>
                <c:pt idx="1">
                  <c:v>7</c:v>
                </c:pt>
                <c:pt idx="2">
                  <c:v>9</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Town and Parish Councils</a:t>
            </a:r>
          </a:p>
        </c:rich>
      </c:tx>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C000"/>
              </a:solidFill>
              <a:ln w="19050">
                <a:solidFill>
                  <a:schemeClr val="lt1"/>
                </a:solidFill>
              </a:ln>
              <a:effectLst/>
            </c:spPr>
          </c:dPt>
          <c:dPt>
            <c:idx val="2"/>
            <c:bubble3D val="0"/>
            <c:spPr>
              <a:solidFill>
                <a:srgbClr val="FF0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I&amp;O'!$I$4:$I$6</c:f>
              <c:strCache>
                <c:ptCount val="3"/>
                <c:pt idx="0">
                  <c:v>Moderate (26,250) and lower</c:v>
                </c:pt>
                <c:pt idx="1">
                  <c:v>Significant (27,500)</c:v>
                </c:pt>
                <c:pt idx="2">
                  <c:v>High (28,250)</c:v>
                </c:pt>
              </c:strCache>
            </c:strRef>
          </c:cat>
          <c:val>
            <c:numRef>
              <c:f>'Summary I&amp;O'!$J$4:$J$6</c:f>
              <c:numCache>
                <c:formatCode>General</c:formatCode>
                <c:ptCount val="3"/>
                <c:pt idx="0">
                  <c:v>54</c:v>
                </c:pt>
                <c:pt idx="1">
                  <c:v>16</c:v>
                </c:pt>
                <c:pt idx="2">
                  <c:v>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Local and national interest</a:t>
            </a:r>
          </a:p>
        </c:rich>
      </c:tx>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C000"/>
              </a:solidFill>
              <a:ln w="19050">
                <a:solidFill>
                  <a:schemeClr val="lt1"/>
                </a:solidFill>
              </a:ln>
              <a:effectLst/>
            </c:spPr>
          </c:dPt>
          <c:dPt>
            <c:idx val="2"/>
            <c:bubble3D val="0"/>
            <c:spPr>
              <a:solidFill>
                <a:srgbClr val="FF0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I&amp;O'!$C$4:$C$6</c:f>
              <c:strCache>
                <c:ptCount val="3"/>
                <c:pt idx="0">
                  <c:v>Moderate (26,250) and lower</c:v>
                </c:pt>
                <c:pt idx="1">
                  <c:v>Significant (27,500)</c:v>
                </c:pt>
                <c:pt idx="2">
                  <c:v>High (28,250)</c:v>
                </c:pt>
              </c:strCache>
            </c:strRef>
          </c:cat>
          <c:val>
            <c:numRef>
              <c:f>'Summary I&amp;O'!$D$4:$D$6</c:f>
              <c:numCache>
                <c:formatCode>General</c:formatCode>
                <c:ptCount val="3"/>
                <c:pt idx="0">
                  <c:v>11</c:v>
                </c:pt>
                <c:pt idx="1">
                  <c:v>3</c:v>
                </c:pt>
                <c:pt idx="2">
                  <c:v>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Landowners, developers and agents,</a:t>
            </a:r>
          </a:p>
          <a:p>
            <a:pPr>
              <a:defRPr sz="1400" b="0" i="0" u="none" strike="noStrike" kern="1200" spc="0" baseline="0">
                <a:solidFill>
                  <a:schemeClr val="tx1">
                    <a:lumMod val="65000"/>
                    <a:lumOff val="35000"/>
                  </a:schemeClr>
                </a:solidFill>
                <a:latin typeface="+mn-lt"/>
                <a:ea typeface="+mn-ea"/>
                <a:cs typeface="+mn-cs"/>
              </a:defRPr>
            </a:pPr>
            <a:r>
              <a:rPr lang="en-US" sz="1000"/>
              <a:t>including identical responses</a:t>
            </a:r>
          </a:p>
        </c:rich>
      </c:tx>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C000"/>
              </a:solidFill>
              <a:ln w="19050">
                <a:solidFill>
                  <a:schemeClr val="lt1"/>
                </a:solidFill>
              </a:ln>
              <a:effectLst/>
            </c:spPr>
          </c:dPt>
          <c:dPt>
            <c:idx val="2"/>
            <c:bubble3D val="0"/>
            <c:spPr>
              <a:solidFill>
                <a:srgbClr val="FF0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I&amp;O'!$G$4:$G$6</c:f>
              <c:strCache>
                <c:ptCount val="3"/>
                <c:pt idx="0">
                  <c:v>Moderate (26,250) and lower</c:v>
                </c:pt>
                <c:pt idx="1">
                  <c:v>Significant (27,500)</c:v>
                </c:pt>
                <c:pt idx="2">
                  <c:v>High (28,250)</c:v>
                </c:pt>
              </c:strCache>
            </c:strRef>
          </c:cat>
          <c:val>
            <c:numRef>
              <c:f>'Summary I&amp;O'!$H$4:$H$6</c:f>
              <c:numCache>
                <c:formatCode>General</c:formatCode>
                <c:ptCount val="3"/>
                <c:pt idx="0">
                  <c:v>1</c:v>
                </c:pt>
                <c:pt idx="1">
                  <c:v>12</c:v>
                </c:pt>
                <c:pt idx="2">
                  <c:v>93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a:t>CPRE</a:t>
            </a:r>
            <a:r>
              <a:rPr lang="en-US" sz="1100" baseline="0"/>
              <a:t> t</a:t>
            </a:r>
            <a:r>
              <a:rPr lang="en-US" sz="1100"/>
              <a:t>otal </a:t>
            </a:r>
            <a:r>
              <a:rPr lang="en-US" sz="1100" b="0" i="0" baseline="0">
                <a:effectLst/>
              </a:rPr>
              <a:t>(276 valid responses)</a:t>
            </a:r>
            <a:endParaRPr lang="en-GB"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100"/>
              <a:t>excluding identical responses from agents </a:t>
            </a:r>
          </a:p>
        </c:rich>
      </c:tx>
      <c:layout>
        <c:manualLayout>
          <c:xMode val="edge"/>
          <c:yMode val="edge"/>
          <c:x val="0.14760758678750063"/>
          <c:y val="3.3229392142715225E-2"/>
        </c:manualLayout>
      </c:layout>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C000"/>
              </a:solidFill>
              <a:ln w="19050">
                <a:solidFill>
                  <a:schemeClr val="lt1"/>
                </a:solidFill>
              </a:ln>
              <a:effectLst/>
            </c:spPr>
          </c:dPt>
          <c:dPt>
            <c:idx val="2"/>
            <c:bubble3D val="0"/>
            <c:spPr>
              <a:solidFill>
                <a:srgbClr val="FF0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I&amp;O'!$O$4:$O$6</c:f>
              <c:strCache>
                <c:ptCount val="3"/>
                <c:pt idx="0">
                  <c:v>Moderate (26,250) and lower</c:v>
                </c:pt>
                <c:pt idx="1">
                  <c:v>Significant (27,500)</c:v>
                </c:pt>
                <c:pt idx="2">
                  <c:v>High (28,250)</c:v>
                </c:pt>
              </c:strCache>
            </c:strRef>
          </c:cat>
          <c:val>
            <c:numRef>
              <c:f>'Summary I&amp;O'!$P$4:$P$6</c:f>
              <c:numCache>
                <c:formatCode>General</c:formatCode>
                <c:ptCount val="3"/>
                <c:pt idx="0">
                  <c:v>178</c:v>
                </c:pt>
                <c:pt idx="1">
                  <c:v>38</c:v>
                </c:pt>
                <c:pt idx="2">
                  <c:v>60</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Shropshire</a:t>
            </a:r>
            <a:r>
              <a:rPr lang="en-US" sz="1100" baseline="0"/>
              <a:t> Council t</a:t>
            </a:r>
            <a:r>
              <a:rPr lang="en-US" sz="1100"/>
              <a:t>otal (299 responses)</a:t>
            </a:r>
          </a:p>
        </c:rich>
      </c:tx>
      <c:overlay val="0"/>
      <c:spPr>
        <a:noFill/>
        <a:ln w="25400">
          <a:noFill/>
        </a:ln>
      </c:spPr>
    </c:title>
    <c:autoTitleDeleted val="0"/>
    <c:plotArea>
      <c:layout/>
      <c:pieChart>
        <c:varyColors val="1"/>
        <c:ser>
          <c:idx val="0"/>
          <c:order val="0"/>
          <c:dPt>
            <c:idx val="0"/>
            <c:bubble3D val="0"/>
            <c:spPr>
              <a:solidFill>
                <a:srgbClr val="00B050"/>
              </a:solidFill>
              <a:ln w="19050">
                <a:solidFill>
                  <a:schemeClr val="lt1"/>
                </a:solidFill>
              </a:ln>
              <a:effectLst/>
            </c:spPr>
          </c:dPt>
          <c:dPt>
            <c:idx val="1"/>
            <c:bubble3D val="0"/>
            <c:spPr>
              <a:solidFill>
                <a:srgbClr val="FFC000"/>
              </a:solidFill>
              <a:ln w="19050">
                <a:solidFill>
                  <a:schemeClr val="lt1"/>
                </a:solidFill>
              </a:ln>
              <a:effectLst/>
            </c:spPr>
          </c:dPt>
          <c:dPt>
            <c:idx val="2"/>
            <c:bubble3D val="0"/>
            <c:spPr>
              <a:solidFill>
                <a:srgbClr val="FF0000"/>
              </a:solidFill>
              <a:ln w="19050">
                <a:solidFill>
                  <a:schemeClr val="lt1"/>
                </a:solidFill>
              </a:ln>
              <a:effectLst/>
            </c:spPr>
          </c:dPt>
          <c:dLbls>
            <c:spPr>
              <a:solidFill>
                <a:schemeClr val="tx1"/>
              </a:solid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rgbClr val="FFFF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I&amp;O'!$S$4:$S$6</c:f>
              <c:strCache>
                <c:ptCount val="3"/>
                <c:pt idx="0">
                  <c:v>Moderate (26,250) and lower</c:v>
                </c:pt>
                <c:pt idx="1">
                  <c:v>Significant (27,500)</c:v>
                </c:pt>
                <c:pt idx="2">
                  <c:v>High (28,250)</c:v>
                </c:pt>
              </c:strCache>
            </c:strRef>
          </c:cat>
          <c:val>
            <c:numRef>
              <c:f>'Summary I&amp;O'!$T$4:$T$6</c:f>
              <c:numCache>
                <c:formatCode>General</c:formatCode>
                <c:ptCount val="3"/>
                <c:pt idx="0">
                  <c:v>153</c:v>
                </c:pt>
                <c:pt idx="1">
                  <c:v>40</c:v>
                </c:pt>
                <c:pt idx="2">
                  <c:v>106</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65AB24-AFC5-4C81-B06A-AB4DD5E79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1</Pages>
  <Words>24417</Words>
  <Characters>139180</Characters>
  <Application>Microsoft Office Word</Application>
  <DocSecurity>0</DocSecurity>
  <Lines>1159</Lines>
  <Paragraphs>326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163271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Charles Green</cp:lastModifiedBy>
  <cp:revision>12</cp:revision>
  <cp:lastPrinted>2021-02-26T16:01:00Z</cp:lastPrinted>
  <dcterms:created xsi:type="dcterms:W3CDTF">2021-02-26T08:07:00Z</dcterms:created>
  <dcterms:modified xsi:type="dcterms:W3CDTF">2021-02-26T16:01:00Z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